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A14490" w:rsidP="00A14490">
            <w:pPr>
              <w:spacing w:beforeLines="20" w:before="48"/>
              <w:rPr>
                <w:sz w:val="24"/>
              </w:rPr>
            </w:pPr>
            <w:r>
              <w:rPr>
                <w:sz w:val="24"/>
              </w:rPr>
              <w:t xml:space="preserve"> ředitel </w:t>
            </w:r>
            <w:r w:rsidR="005963A8" w:rsidRPr="00095FDB">
              <w:rPr>
                <w:sz w:val="24"/>
              </w:rPr>
              <w:t xml:space="preserve">Ing. </w:t>
            </w:r>
            <w:r w:rsidR="00560BF2">
              <w:rPr>
                <w:sz w:val="24"/>
              </w:rPr>
              <w:t>Martin Lehký</w:t>
            </w:r>
            <w:r w:rsidR="005963A8" w:rsidRPr="00095FDB">
              <w:rPr>
                <w:sz w:val="24"/>
              </w:rPr>
              <w:t xml:space="preserve"> </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743999" w:rsidRPr="00743999">
              <w:rPr>
                <w:sz w:val="24"/>
              </w:rPr>
              <w:t>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0F13C1" w:rsidP="00D711E4">
            <w:pPr>
              <w:rPr>
                <w:sz w:val="24"/>
              </w:rPr>
            </w:pPr>
            <w:r>
              <w:rPr>
                <w:sz w:val="24"/>
              </w:rPr>
              <w:t>Ing. Dušan Bako, tel.: 606 729 079</w:t>
            </w:r>
          </w:p>
          <w:p w:rsidR="000F13C1" w:rsidRPr="00095FDB" w:rsidRDefault="000F13C1" w:rsidP="00D711E4">
            <w:pPr>
              <w:rPr>
                <w:sz w:val="24"/>
              </w:rPr>
            </w:pPr>
            <w:r>
              <w:rPr>
                <w:sz w:val="24"/>
              </w:rPr>
              <w:t xml:space="preserve">Václav </w:t>
            </w:r>
            <w:proofErr w:type="spellStart"/>
            <w:r>
              <w:rPr>
                <w:sz w:val="24"/>
              </w:rPr>
              <w:t>Ondrůj</w:t>
            </w:r>
            <w:proofErr w:type="spellEnd"/>
            <w:r>
              <w:rPr>
                <w:sz w:val="24"/>
              </w:rPr>
              <w:t>, tel.: 602 551 088</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AE2642" w:rsidRPr="00F05BEB" w:rsidRDefault="00AE2642" w:rsidP="00F05BEB">
      <w:pPr>
        <w:pStyle w:val="Odstavecseseznamem"/>
        <w:numPr>
          <w:ilvl w:val="0"/>
          <w:numId w:val="25"/>
        </w:numPr>
        <w:spacing w:before="480" w:after="240"/>
        <w:jc w:val="center"/>
        <w:rPr>
          <w:b/>
          <w:bCs/>
          <w:sz w:val="24"/>
          <w:u w:val="single"/>
        </w:rPr>
      </w:pPr>
      <w:r w:rsidRPr="00F05BEB">
        <w:rPr>
          <w:b/>
          <w:bCs/>
          <w:sz w:val="24"/>
          <w:szCs w:val="24"/>
          <w:u w:val="single"/>
        </w:rPr>
        <w:t>PŘEDMĚT</w:t>
      </w:r>
      <w:r w:rsidR="00053D8D" w:rsidRPr="00F05BEB">
        <w:rPr>
          <w:b/>
          <w:bCs/>
          <w:sz w:val="24"/>
          <w:u w:val="single"/>
        </w:rPr>
        <w:t xml:space="preserve"> </w:t>
      </w:r>
      <w:r w:rsidRPr="00F05BEB">
        <w:rPr>
          <w:b/>
          <w:bCs/>
          <w:sz w:val="24"/>
          <w:u w:val="single"/>
        </w:rPr>
        <w:t>DÍLA</w:t>
      </w:r>
    </w:p>
    <w:p w:rsidR="00F05BEB" w:rsidRDefault="00F05BEB" w:rsidP="00F05BEB">
      <w:pPr>
        <w:spacing w:after="120" w:line="288" w:lineRule="auto"/>
        <w:jc w:val="both"/>
        <w:rPr>
          <w:b/>
          <w:sz w:val="24"/>
          <w:szCs w:val="24"/>
          <w:u w:val="single"/>
        </w:rPr>
      </w:pPr>
      <w:r w:rsidRPr="00E43BC5">
        <w:rPr>
          <w:b/>
          <w:sz w:val="24"/>
          <w:szCs w:val="24"/>
          <w:u w:val="single"/>
        </w:rPr>
        <w:t>Rozsah požadovaných prací:</w:t>
      </w:r>
    </w:p>
    <w:p w:rsidR="00F05BEB" w:rsidRPr="009B073E" w:rsidRDefault="00F05BEB" w:rsidP="00F05BEB">
      <w:pPr>
        <w:numPr>
          <w:ilvl w:val="0"/>
          <w:numId w:val="22"/>
        </w:numPr>
        <w:spacing w:line="288" w:lineRule="auto"/>
        <w:ind w:left="714" w:hanging="357"/>
        <w:jc w:val="both"/>
        <w:rPr>
          <w:sz w:val="24"/>
          <w:szCs w:val="24"/>
        </w:rPr>
      </w:pPr>
      <w:r w:rsidRPr="0059638C">
        <w:rPr>
          <w:sz w:val="24"/>
          <w:szCs w:val="24"/>
        </w:rPr>
        <w:t>Provést vlastní realizaci díla podle projektové dokumentace „</w:t>
      </w:r>
      <w:r>
        <w:rPr>
          <w:sz w:val="24"/>
          <w:szCs w:val="24"/>
        </w:rPr>
        <w:t>Rekonstrukce teplovodní sítě ve Městě Libavá – větev sídliště“</w:t>
      </w:r>
      <w:r w:rsidRPr="0059638C">
        <w:rPr>
          <w:sz w:val="24"/>
          <w:szCs w:val="24"/>
        </w:rPr>
        <w:t>,</w:t>
      </w:r>
      <w:r>
        <w:rPr>
          <w:sz w:val="24"/>
          <w:szCs w:val="24"/>
        </w:rPr>
        <w:t xml:space="preserve"> </w:t>
      </w:r>
      <w:r w:rsidRPr="0059638C">
        <w:rPr>
          <w:sz w:val="24"/>
          <w:szCs w:val="24"/>
        </w:rPr>
        <w:t>zpracované</w:t>
      </w:r>
      <w:r>
        <w:rPr>
          <w:sz w:val="24"/>
          <w:szCs w:val="24"/>
        </w:rPr>
        <w:t xml:space="preserve"> v 2/2015 firmou ERDING a.s., na základě</w:t>
      </w:r>
      <w:r w:rsidRPr="0059638C">
        <w:rPr>
          <w:sz w:val="24"/>
          <w:szCs w:val="24"/>
        </w:rPr>
        <w:t xml:space="preserve"> </w:t>
      </w:r>
      <w:r>
        <w:rPr>
          <w:sz w:val="24"/>
          <w:szCs w:val="24"/>
        </w:rPr>
        <w:t>v</w:t>
      </w:r>
      <w:r w:rsidRPr="0059638C">
        <w:rPr>
          <w:sz w:val="24"/>
          <w:szCs w:val="24"/>
        </w:rPr>
        <w:t xml:space="preserve">ydaného </w:t>
      </w:r>
      <w:r>
        <w:rPr>
          <w:sz w:val="24"/>
          <w:szCs w:val="24"/>
        </w:rPr>
        <w:t xml:space="preserve">územního rozhodnutí ÚÚVÚ Libavá a dle </w:t>
      </w:r>
      <w:r w:rsidRPr="0059638C">
        <w:rPr>
          <w:sz w:val="24"/>
          <w:szCs w:val="24"/>
        </w:rPr>
        <w:t>výkaz</w:t>
      </w:r>
      <w:r>
        <w:rPr>
          <w:sz w:val="24"/>
          <w:szCs w:val="24"/>
        </w:rPr>
        <w:t>u</w:t>
      </w:r>
      <w:r w:rsidRPr="0059638C">
        <w:rPr>
          <w:sz w:val="24"/>
          <w:szCs w:val="24"/>
        </w:rPr>
        <w:t xml:space="preserve"> výměr.</w:t>
      </w:r>
    </w:p>
    <w:p w:rsidR="00F05BEB" w:rsidRDefault="00F05BEB" w:rsidP="00F05BEB">
      <w:pPr>
        <w:numPr>
          <w:ilvl w:val="0"/>
          <w:numId w:val="22"/>
        </w:numPr>
        <w:spacing w:line="288" w:lineRule="auto"/>
        <w:ind w:left="714" w:hanging="357"/>
        <w:jc w:val="both"/>
        <w:rPr>
          <w:sz w:val="24"/>
          <w:szCs w:val="24"/>
        </w:rPr>
      </w:pPr>
      <w:r>
        <w:rPr>
          <w:sz w:val="24"/>
          <w:szCs w:val="24"/>
        </w:rPr>
        <w:t xml:space="preserve">V rámci </w:t>
      </w:r>
      <w:r w:rsidR="00146E48">
        <w:rPr>
          <w:sz w:val="24"/>
          <w:szCs w:val="24"/>
        </w:rPr>
        <w:t xml:space="preserve">díla </w:t>
      </w:r>
      <w:r>
        <w:rPr>
          <w:sz w:val="24"/>
          <w:szCs w:val="24"/>
        </w:rPr>
        <w:t>si zhotovitel zajistí povolení ke vstupu a přístup do objektů a místností.</w:t>
      </w:r>
    </w:p>
    <w:p w:rsidR="00F05BEB" w:rsidRDefault="00F05BEB" w:rsidP="00F05BEB">
      <w:pPr>
        <w:numPr>
          <w:ilvl w:val="0"/>
          <w:numId w:val="22"/>
        </w:numPr>
        <w:spacing w:line="288" w:lineRule="auto"/>
        <w:ind w:left="714" w:hanging="357"/>
        <w:jc w:val="both"/>
        <w:rPr>
          <w:sz w:val="24"/>
          <w:szCs w:val="24"/>
        </w:rPr>
      </w:pPr>
      <w:r>
        <w:rPr>
          <w:sz w:val="24"/>
          <w:szCs w:val="24"/>
        </w:rPr>
        <w:lastRenderedPageBreak/>
        <w:t>Realizace bude probíhat za plného provozu ve Vojenském Újezdu Libavá, ve Městě Libavá.</w:t>
      </w:r>
    </w:p>
    <w:p w:rsidR="00F05BEB" w:rsidRDefault="00F05BEB" w:rsidP="00F05BEB">
      <w:pPr>
        <w:numPr>
          <w:ilvl w:val="0"/>
          <w:numId w:val="22"/>
        </w:numPr>
        <w:spacing w:line="288" w:lineRule="auto"/>
        <w:ind w:left="714" w:hanging="357"/>
        <w:jc w:val="both"/>
        <w:rPr>
          <w:sz w:val="24"/>
          <w:szCs w:val="24"/>
        </w:rPr>
      </w:pPr>
      <w:r>
        <w:rPr>
          <w:sz w:val="24"/>
          <w:szCs w:val="24"/>
        </w:rPr>
        <w:t>Zhotovitel zajistí projednání, odsouhlasení a osazení přechodného dopravního značení po dobu výstavby.</w:t>
      </w:r>
    </w:p>
    <w:p w:rsidR="00F05BEB" w:rsidRDefault="00F05BEB" w:rsidP="00F05BEB">
      <w:pPr>
        <w:numPr>
          <w:ilvl w:val="0"/>
          <w:numId w:val="22"/>
        </w:numPr>
        <w:spacing w:line="288" w:lineRule="auto"/>
        <w:ind w:left="714" w:hanging="357"/>
        <w:jc w:val="both"/>
        <w:rPr>
          <w:sz w:val="24"/>
          <w:szCs w:val="24"/>
        </w:rPr>
      </w:pPr>
      <w:r>
        <w:rPr>
          <w:sz w:val="24"/>
          <w:szCs w:val="24"/>
        </w:rPr>
        <w:t xml:space="preserve">Před zahájením zemních prací je třeba provést vytyčení tras za účasti správců jednotlivých sítí. V případě výskytu nezjištěných sítí je nutné </w:t>
      </w:r>
      <w:proofErr w:type="gramStart"/>
      <w:r>
        <w:rPr>
          <w:sz w:val="24"/>
          <w:szCs w:val="24"/>
        </w:rPr>
        <w:t>ověřit  u správců</w:t>
      </w:r>
      <w:proofErr w:type="gramEnd"/>
      <w:r>
        <w:rPr>
          <w:sz w:val="24"/>
          <w:szCs w:val="24"/>
        </w:rPr>
        <w:t xml:space="preserve"> sítí, přicházejících v úvahu. Ve výkopové rýze budou inženýrské sítě řádně zajištěny. V místech křížení bude respektována ČSN 73 6005.</w:t>
      </w:r>
    </w:p>
    <w:p w:rsidR="00F05BEB" w:rsidRDefault="00F05BEB" w:rsidP="00F05BEB">
      <w:pPr>
        <w:numPr>
          <w:ilvl w:val="0"/>
          <w:numId w:val="22"/>
        </w:numPr>
        <w:spacing w:line="288" w:lineRule="auto"/>
        <w:ind w:left="714" w:hanging="357"/>
        <w:jc w:val="both"/>
        <w:rPr>
          <w:sz w:val="24"/>
          <w:szCs w:val="24"/>
        </w:rPr>
      </w:pPr>
      <w:r>
        <w:rPr>
          <w:sz w:val="24"/>
          <w:szCs w:val="24"/>
        </w:rPr>
        <w:t xml:space="preserve">Veškeré křížení s komunikací provádět překopem. </w:t>
      </w:r>
    </w:p>
    <w:p w:rsidR="00F05BEB" w:rsidRDefault="00F05BEB" w:rsidP="00F05BEB">
      <w:pPr>
        <w:numPr>
          <w:ilvl w:val="0"/>
          <w:numId w:val="22"/>
        </w:numPr>
        <w:spacing w:line="288" w:lineRule="auto"/>
        <w:ind w:left="714" w:hanging="357"/>
        <w:jc w:val="both"/>
        <w:rPr>
          <w:sz w:val="24"/>
          <w:szCs w:val="24"/>
        </w:rPr>
      </w:pPr>
      <w:r>
        <w:rPr>
          <w:sz w:val="24"/>
          <w:szCs w:val="24"/>
        </w:rPr>
        <w:t>Provedení zkoušek těsnosti předizolovaného potrubí dle ČSN EN 13941.</w:t>
      </w:r>
    </w:p>
    <w:p w:rsidR="00F05BEB" w:rsidRDefault="00F05BEB" w:rsidP="00F05BEB">
      <w:pPr>
        <w:numPr>
          <w:ilvl w:val="0"/>
          <w:numId w:val="22"/>
        </w:numPr>
        <w:spacing w:line="288" w:lineRule="auto"/>
        <w:ind w:left="714" w:hanging="357"/>
        <w:jc w:val="both"/>
        <w:rPr>
          <w:sz w:val="24"/>
          <w:szCs w:val="24"/>
        </w:rPr>
      </w:pPr>
      <w:r>
        <w:rPr>
          <w:sz w:val="24"/>
          <w:szCs w:val="24"/>
        </w:rPr>
        <w:t xml:space="preserve">Provedení nových komunikací, zpevněných ploch a chodníků v místech, kde budou provedeny zemní práce. </w:t>
      </w:r>
    </w:p>
    <w:p w:rsidR="00F05BEB" w:rsidRDefault="00F05BEB" w:rsidP="00F05BEB">
      <w:pPr>
        <w:numPr>
          <w:ilvl w:val="0"/>
          <w:numId w:val="22"/>
        </w:numPr>
        <w:spacing w:line="288" w:lineRule="auto"/>
        <w:ind w:left="714" w:hanging="357"/>
        <w:jc w:val="both"/>
        <w:rPr>
          <w:sz w:val="24"/>
          <w:szCs w:val="24"/>
        </w:rPr>
      </w:pPr>
      <w:r>
        <w:rPr>
          <w:sz w:val="24"/>
          <w:szCs w:val="24"/>
        </w:rPr>
        <w:t>Odstranění původních venkovních rozvodů v betonových kanálech.</w:t>
      </w:r>
    </w:p>
    <w:p w:rsidR="00F05BEB" w:rsidRPr="00C47174" w:rsidRDefault="00F05BEB" w:rsidP="00F05BEB">
      <w:pPr>
        <w:numPr>
          <w:ilvl w:val="0"/>
          <w:numId w:val="22"/>
        </w:numPr>
        <w:spacing w:line="288" w:lineRule="auto"/>
        <w:ind w:left="714" w:hanging="357"/>
        <w:jc w:val="both"/>
        <w:rPr>
          <w:sz w:val="24"/>
          <w:szCs w:val="24"/>
        </w:rPr>
      </w:pPr>
      <w:r>
        <w:rPr>
          <w:sz w:val="24"/>
          <w:szCs w:val="24"/>
        </w:rPr>
        <w:t xml:space="preserve">Vždy před zasypáním bude provedena fotodokumentace odkryté části potrubí, vizuální kontrola uloženého potrubí. Fotodokumentaci bude provádět i zhotovitel nezávisle </w:t>
      </w:r>
      <w:proofErr w:type="gramStart"/>
      <w:r>
        <w:rPr>
          <w:sz w:val="24"/>
          <w:szCs w:val="24"/>
        </w:rPr>
        <w:t>na</w:t>
      </w:r>
      <w:proofErr w:type="gramEnd"/>
      <w:r>
        <w:rPr>
          <w:sz w:val="24"/>
          <w:szCs w:val="24"/>
        </w:rPr>
        <w:t>. TDS. Zhotovitel oznámí skutečnost zápisem do stavebního deníku min. 3 dny předem.</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V průběhu realizace vést stavební deník – podle vyhlášky č.499/2006 Sb. – příloha č. </w:t>
      </w:r>
      <w:r>
        <w:rPr>
          <w:sz w:val="24"/>
          <w:szCs w:val="24"/>
        </w:rPr>
        <w:t>9</w:t>
      </w:r>
    </w:p>
    <w:p w:rsidR="00F05BEB" w:rsidRPr="0059638C" w:rsidRDefault="00F05BEB" w:rsidP="00F05BEB">
      <w:pPr>
        <w:pStyle w:val="Zkladntext3"/>
        <w:numPr>
          <w:ilvl w:val="0"/>
          <w:numId w:val="22"/>
        </w:numPr>
        <w:shd w:val="clear" w:color="auto" w:fill="auto"/>
        <w:spacing w:before="0" w:line="288" w:lineRule="auto"/>
        <w:ind w:left="714" w:hanging="357"/>
        <w:jc w:val="both"/>
        <w:rPr>
          <w:bCs/>
          <w:i/>
          <w:iCs/>
          <w:szCs w:val="24"/>
        </w:rPr>
      </w:pPr>
      <w:r w:rsidRPr="0059638C">
        <w:rPr>
          <w:rFonts w:eastAsia="Calibri"/>
          <w:bCs/>
          <w:szCs w:val="24"/>
        </w:rPr>
        <w:t>Průběžné provádění (min.2x za měsíc) kontrolních dnů za společné účasti projektanta, zástupce investora a zástupce zhotovitele.</w:t>
      </w:r>
    </w:p>
    <w:p w:rsidR="00F05BEB" w:rsidRPr="0059638C" w:rsidRDefault="00F05BEB" w:rsidP="00F05BEB">
      <w:pPr>
        <w:pStyle w:val="Zkladntext3"/>
        <w:numPr>
          <w:ilvl w:val="0"/>
          <w:numId w:val="22"/>
        </w:numPr>
        <w:shd w:val="clear" w:color="auto" w:fill="auto"/>
        <w:spacing w:before="0" w:line="288" w:lineRule="auto"/>
        <w:ind w:left="714" w:hanging="357"/>
        <w:jc w:val="both"/>
        <w:rPr>
          <w:bCs/>
          <w:i/>
          <w:iCs/>
          <w:szCs w:val="24"/>
        </w:rPr>
      </w:pPr>
      <w:r w:rsidRPr="0082484F">
        <w:rPr>
          <w:rFonts w:eastAsia="Calibri"/>
          <w:bCs/>
          <w:szCs w:val="24"/>
        </w:rPr>
        <w:t>Provedení zkoušek dle ČSN 060310.</w:t>
      </w:r>
    </w:p>
    <w:p w:rsidR="00F05BEB" w:rsidRPr="00D708E8" w:rsidRDefault="00F05BEB" w:rsidP="00F05BEB">
      <w:pPr>
        <w:numPr>
          <w:ilvl w:val="0"/>
          <w:numId w:val="22"/>
        </w:numPr>
        <w:spacing w:line="288" w:lineRule="auto"/>
        <w:ind w:left="714" w:hanging="357"/>
        <w:jc w:val="both"/>
        <w:rPr>
          <w:sz w:val="24"/>
          <w:szCs w:val="24"/>
        </w:rPr>
      </w:pPr>
      <w:r w:rsidRPr="0059638C">
        <w:rPr>
          <w:bCs/>
          <w:sz w:val="24"/>
          <w:szCs w:val="24"/>
        </w:rPr>
        <w:t xml:space="preserve">Doložit veškeré </w:t>
      </w:r>
      <w:r w:rsidRPr="0059638C">
        <w:rPr>
          <w:sz w:val="24"/>
          <w:szCs w:val="24"/>
        </w:rPr>
        <w:t>výchozí revize,</w:t>
      </w:r>
      <w:r w:rsidRPr="0059638C">
        <w:rPr>
          <w:bCs/>
          <w:sz w:val="24"/>
          <w:szCs w:val="24"/>
        </w:rPr>
        <w:t xml:space="preserve"> </w:t>
      </w:r>
      <w:r w:rsidRPr="0059638C">
        <w:rPr>
          <w:sz w:val="24"/>
          <w:szCs w:val="24"/>
        </w:rPr>
        <w:t>protokoly o příslušných zkouškách,</w:t>
      </w:r>
      <w:r w:rsidRPr="0059638C">
        <w:rPr>
          <w:bCs/>
          <w:sz w:val="24"/>
          <w:szCs w:val="24"/>
        </w:rPr>
        <w:t xml:space="preserve"> atesty výrobků a materiálu</w:t>
      </w:r>
      <w:r w:rsidRPr="0059638C">
        <w:rPr>
          <w:sz w:val="24"/>
          <w:szCs w:val="24"/>
        </w:rPr>
        <w:t>, doložení prohlášení o shodě na dodané výrobky.</w:t>
      </w:r>
    </w:p>
    <w:p w:rsidR="00F05BEB" w:rsidRPr="0059638C" w:rsidRDefault="00F05BEB" w:rsidP="00F05BEB">
      <w:pPr>
        <w:pStyle w:val="Zkladntext3"/>
        <w:numPr>
          <w:ilvl w:val="0"/>
          <w:numId w:val="22"/>
        </w:numPr>
        <w:shd w:val="clear" w:color="auto" w:fill="auto"/>
        <w:spacing w:before="0" w:line="288" w:lineRule="auto"/>
        <w:ind w:left="714" w:hanging="357"/>
        <w:jc w:val="both"/>
        <w:rPr>
          <w:rFonts w:eastAsia="Calibri"/>
          <w:bCs/>
          <w:szCs w:val="24"/>
        </w:rPr>
      </w:pPr>
      <w:r>
        <w:rPr>
          <w:rFonts w:eastAsia="Calibri"/>
          <w:bCs/>
          <w:szCs w:val="24"/>
        </w:rPr>
        <w:t>PS</w:t>
      </w:r>
      <w:r w:rsidRPr="00106B7E">
        <w:rPr>
          <w:rFonts w:eastAsia="Calibri"/>
          <w:bCs/>
          <w:szCs w:val="24"/>
        </w:rPr>
        <w:t xml:space="preserve"> vybavit lékárničkou, přenosnou svítilnou a hasicími přístroji.</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Předání veškerých návodů na obsluhu jednotlivých zařízení, záruční listy, provedení zaškolení obsluhy.</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Předat pasporty tlakových nádob.</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Zpracování návrhu provozních a požárních řádů v písemné i elektronické podobě na CD.</w:t>
      </w:r>
    </w:p>
    <w:p w:rsidR="00F05BEB" w:rsidRDefault="00F05BEB" w:rsidP="00F05BEB">
      <w:pPr>
        <w:numPr>
          <w:ilvl w:val="0"/>
          <w:numId w:val="22"/>
        </w:numPr>
        <w:spacing w:line="288" w:lineRule="auto"/>
        <w:ind w:left="714" w:hanging="357"/>
        <w:jc w:val="both"/>
        <w:rPr>
          <w:sz w:val="24"/>
          <w:szCs w:val="24"/>
        </w:rPr>
      </w:pPr>
      <w:r w:rsidRPr="0059638C">
        <w:rPr>
          <w:sz w:val="24"/>
          <w:szCs w:val="24"/>
        </w:rPr>
        <w:t>Zpracovat projektovou dokumentaci skutečného provedení stavby 3x v listinné podobě a 1x v elektronické podobě na CD – dle Vyhlášky č. 499/2006 Sb., příloha č. </w:t>
      </w:r>
      <w:r>
        <w:rPr>
          <w:sz w:val="24"/>
          <w:szCs w:val="24"/>
        </w:rPr>
        <w:t>7</w:t>
      </w:r>
      <w:r w:rsidRPr="0059638C">
        <w:rPr>
          <w:sz w:val="24"/>
          <w:szCs w:val="24"/>
        </w:rPr>
        <w:t>.</w:t>
      </w:r>
    </w:p>
    <w:p w:rsidR="00F05BEB" w:rsidRPr="0059638C" w:rsidRDefault="00F05BEB" w:rsidP="00F05BEB">
      <w:pPr>
        <w:numPr>
          <w:ilvl w:val="0"/>
          <w:numId w:val="22"/>
        </w:numPr>
        <w:spacing w:line="288" w:lineRule="auto"/>
        <w:ind w:left="714" w:hanging="357"/>
        <w:jc w:val="both"/>
        <w:rPr>
          <w:sz w:val="24"/>
          <w:szCs w:val="24"/>
        </w:rPr>
      </w:pPr>
      <w:r>
        <w:rPr>
          <w:sz w:val="24"/>
          <w:szCs w:val="24"/>
        </w:rPr>
        <w:t>Po ukončení díla zpracovat geometrické zaměření a geometrický plán skutečného provedení nového teplovodu, obsahující čísla a hranice dotčených pozemků, vyznačení ochranných pásem a to 1x v elektronické a 1x v tištěné podobě.</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Faktury rozdělit na jednotlivé stavební soubory a tyto rozdělit na stavební a strojní část.</w:t>
      </w:r>
    </w:p>
    <w:p w:rsidR="00F05BEB" w:rsidRPr="0059638C" w:rsidRDefault="00625F67" w:rsidP="00F05BEB">
      <w:pPr>
        <w:numPr>
          <w:ilvl w:val="0"/>
          <w:numId w:val="22"/>
        </w:numPr>
        <w:spacing w:line="288" w:lineRule="auto"/>
        <w:ind w:left="714" w:hanging="357"/>
        <w:jc w:val="both"/>
        <w:rPr>
          <w:sz w:val="24"/>
          <w:szCs w:val="24"/>
        </w:rPr>
      </w:pPr>
      <w:r>
        <w:rPr>
          <w:sz w:val="24"/>
          <w:szCs w:val="24"/>
        </w:rPr>
        <w:t>Součástí plnění díla</w:t>
      </w:r>
      <w:r w:rsidR="00F05BEB" w:rsidRPr="0059638C">
        <w:rPr>
          <w:sz w:val="24"/>
          <w:szCs w:val="24"/>
        </w:rPr>
        <w:t xml:space="preserve"> je průběžný a závěrečný úklid, odvoz a ekologická likvidace demontovaného materiálu a veškerého vzniklého odpadu včetně uložení na skládku, doklady o likvidaci odpadu.</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Veškeré finanční prostředky získané za kovový odpad budou převedeny investorovi.</w:t>
      </w:r>
    </w:p>
    <w:p w:rsidR="00F05BEB" w:rsidRPr="0059638C" w:rsidRDefault="00F05BEB" w:rsidP="00F05BEB">
      <w:pPr>
        <w:numPr>
          <w:ilvl w:val="0"/>
          <w:numId w:val="22"/>
        </w:numPr>
        <w:spacing w:line="288" w:lineRule="auto"/>
        <w:ind w:left="714" w:hanging="357"/>
        <w:jc w:val="both"/>
        <w:rPr>
          <w:sz w:val="24"/>
          <w:szCs w:val="24"/>
        </w:rPr>
      </w:pPr>
      <w:r w:rsidRPr="0059638C">
        <w:rPr>
          <w:sz w:val="24"/>
          <w:szCs w:val="24"/>
        </w:rPr>
        <w:t>Veškeré požadované práce realizovat za dodržení platných bezpečnostních a hygienických norem.</w:t>
      </w:r>
    </w:p>
    <w:p w:rsidR="00F05BEB" w:rsidRPr="00451938" w:rsidRDefault="00F05BEB" w:rsidP="00F05BEB">
      <w:pPr>
        <w:numPr>
          <w:ilvl w:val="0"/>
          <w:numId w:val="22"/>
        </w:numPr>
        <w:spacing w:line="288" w:lineRule="auto"/>
        <w:ind w:left="714" w:hanging="357"/>
        <w:jc w:val="both"/>
        <w:rPr>
          <w:sz w:val="24"/>
          <w:szCs w:val="24"/>
        </w:rPr>
      </w:pPr>
      <w:r>
        <w:rPr>
          <w:sz w:val="24"/>
          <w:szCs w:val="24"/>
        </w:rPr>
        <w:lastRenderedPageBreak/>
        <w:t>Veškeré technologie a stavební konstrukce budou před předáním opatřeny bezpečnostním značením dle příslušných norem.</w:t>
      </w:r>
    </w:p>
    <w:p w:rsidR="00F05BEB" w:rsidRDefault="00F05BEB" w:rsidP="00F05BEB">
      <w:pPr>
        <w:numPr>
          <w:ilvl w:val="0"/>
          <w:numId w:val="22"/>
        </w:numPr>
        <w:spacing w:line="288" w:lineRule="auto"/>
        <w:ind w:left="714" w:hanging="357"/>
        <w:jc w:val="both"/>
        <w:rPr>
          <w:sz w:val="24"/>
          <w:szCs w:val="24"/>
        </w:rPr>
      </w:pPr>
      <w:r w:rsidRPr="0059638C">
        <w:rPr>
          <w:sz w:val="24"/>
          <w:szCs w:val="24"/>
        </w:rPr>
        <w:t>U veškerých prací a činností, které budou prováděny za plného provozu v budovách, je nutno dodržovat bezpečnostní předpisy, požární předpisy, požární dozor a dohled,</w:t>
      </w:r>
      <w:r>
        <w:rPr>
          <w:sz w:val="24"/>
          <w:szCs w:val="24"/>
        </w:rPr>
        <w:t xml:space="preserve"> příp. další technický dohled.</w:t>
      </w:r>
    </w:p>
    <w:p w:rsidR="00AE2642" w:rsidRPr="005237DE" w:rsidRDefault="00F866AD" w:rsidP="002A14A6">
      <w:pPr>
        <w:shd w:val="clear" w:color="00FFFF" w:fill="auto"/>
        <w:spacing w:beforeLines="150" w:before="360" w:after="240"/>
        <w:jc w:val="center"/>
        <w:rPr>
          <w:b/>
          <w:sz w:val="24"/>
          <w:u w:val="single"/>
        </w:rPr>
      </w:pPr>
      <w:r w:rsidRPr="005237DE">
        <w:rPr>
          <w:b/>
          <w:caps/>
          <w:sz w:val="24"/>
          <w:szCs w:val="24"/>
          <w:u w:val="single"/>
        </w:rPr>
        <w:t xml:space="preserve">II. </w:t>
      </w:r>
      <w:r w:rsidR="00AE2642" w:rsidRPr="005237DE">
        <w:rPr>
          <w:b/>
          <w:caps/>
          <w:sz w:val="24"/>
          <w:szCs w:val="24"/>
          <w:u w:val="single"/>
        </w:rPr>
        <w:t>Termín</w:t>
      </w:r>
      <w:r w:rsidR="00AE2642" w:rsidRPr="005237DE">
        <w:rPr>
          <w:b/>
          <w:caps/>
          <w:sz w:val="24"/>
          <w:u w:val="single"/>
        </w:rPr>
        <w:t xml:space="preserve"> a místo</w:t>
      </w:r>
      <w:r w:rsidR="00AE2642" w:rsidRPr="005237DE">
        <w:rPr>
          <w:b/>
          <w:sz w:val="24"/>
          <w:u w:val="single"/>
        </w:rPr>
        <w:t xml:space="preserve"> PLNĚNÍ</w:t>
      </w:r>
    </w:p>
    <w:p w:rsidR="0024417C" w:rsidRPr="005237DE" w:rsidRDefault="0024417C" w:rsidP="00566F27">
      <w:pPr>
        <w:spacing w:after="120" w:line="288" w:lineRule="auto"/>
        <w:jc w:val="both"/>
        <w:rPr>
          <w:bCs/>
          <w:sz w:val="24"/>
          <w:szCs w:val="24"/>
        </w:rPr>
      </w:pPr>
      <w:r w:rsidRPr="005237DE">
        <w:rPr>
          <w:bCs/>
          <w:sz w:val="24"/>
          <w:szCs w:val="24"/>
        </w:rPr>
        <w:t>Termín zahájení plnění:</w:t>
      </w:r>
      <w:r w:rsidRPr="005237DE">
        <w:rPr>
          <w:bCs/>
          <w:sz w:val="24"/>
          <w:szCs w:val="24"/>
        </w:rPr>
        <w:tab/>
      </w:r>
      <w:r w:rsidR="009A3F58" w:rsidRPr="005237DE">
        <w:rPr>
          <w:bCs/>
          <w:sz w:val="24"/>
          <w:szCs w:val="24"/>
        </w:rPr>
        <w:tab/>
      </w:r>
      <w:r w:rsidR="009A3F58" w:rsidRPr="005237DE">
        <w:rPr>
          <w:bCs/>
          <w:sz w:val="24"/>
          <w:szCs w:val="24"/>
        </w:rPr>
        <w:tab/>
      </w:r>
      <w:r w:rsidR="009A3F58" w:rsidRPr="005237DE">
        <w:rPr>
          <w:bCs/>
          <w:sz w:val="24"/>
          <w:szCs w:val="24"/>
        </w:rPr>
        <w:tab/>
      </w:r>
      <w:r w:rsidR="009A3F58" w:rsidRPr="005237DE">
        <w:rPr>
          <w:bCs/>
          <w:sz w:val="24"/>
          <w:szCs w:val="24"/>
        </w:rPr>
        <w:tab/>
      </w:r>
      <w:r w:rsidR="009A3F58" w:rsidRPr="005237DE">
        <w:rPr>
          <w:bCs/>
          <w:sz w:val="24"/>
          <w:szCs w:val="24"/>
        </w:rPr>
        <w:tab/>
      </w:r>
      <w:r w:rsidRPr="005237DE">
        <w:rPr>
          <w:b/>
          <w:bCs/>
          <w:sz w:val="24"/>
          <w:szCs w:val="24"/>
        </w:rPr>
        <w:t>ihned po podpisu SoD</w:t>
      </w:r>
    </w:p>
    <w:p w:rsidR="00682D96" w:rsidRPr="005237DE" w:rsidRDefault="00682D96" w:rsidP="00682D96">
      <w:pPr>
        <w:rPr>
          <w:bCs/>
          <w:color w:val="000000"/>
          <w:sz w:val="24"/>
          <w:szCs w:val="24"/>
        </w:rPr>
      </w:pPr>
      <w:r w:rsidRPr="005237DE">
        <w:rPr>
          <w:bCs/>
          <w:color w:val="000000"/>
          <w:sz w:val="24"/>
          <w:szCs w:val="24"/>
        </w:rPr>
        <w:t>Termín ukončení plnění:</w:t>
      </w:r>
      <w:r w:rsidRPr="005237DE">
        <w:rPr>
          <w:bCs/>
          <w:color w:val="000000"/>
          <w:sz w:val="24"/>
          <w:szCs w:val="24"/>
        </w:rPr>
        <w:tab/>
      </w:r>
      <w:r w:rsidRPr="005237DE">
        <w:rPr>
          <w:bCs/>
          <w:color w:val="000000"/>
          <w:sz w:val="24"/>
          <w:szCs w:val="24"/>
        </w:rPr>
        <w:tab/>
      </w:r>
      <w:r w:rsidRPr="005237DE">
        <w:rPr>
          <w:bCs/>
          <w:color w:val="000000"/>
          <w:sz w:val="24"/>
          <w:szCs w:val="24"/>
        </w:rPr>
        <w:tab/>
      </w:r>
      <w:r w:rsidRPr="005237DE">
        <w:rPr>
          <w:bCs/>
          <w:color w:val="000000"/>
          <w:sz w:val="24"/>
          <w:szCs w:val="24"/>
        </w:rPr>
        <w:tab/>
      </w:r>
      <w:r w:rsidRPr="005237DE">
        <w:rPr>
          <w:bCs/>
          <w:color w:val="000000"/>
          <w:sz w:val="24"/>
          <w:szCs w:val="24"/>
        </w:rPr>
        <w:tab/>
      </w:r>
      <w:r w:rsidRPr="005237DE">
        <w:rPr>
          <w:bCs/>
          <w:color w:val="000000"/>
          <w:sz w:val="24"/>
          <w:szCs w:val="24"/>
        </w:rPr>
        <w:tab/>
        <w:t xml:space="preserve">        </w:t>
      </w:r>
      <w:r w:rsidR="005237DE" w:rsidRPr="005237DE">
        <w:rPr>
          <w:b/>
          <w:bCs/>
          <w:color w:val="000000"/>
          <w:sz w:val="24"/>
          <w:szCs w:val="24"/>
        </w:rPr>
        <w:t>31. 8</w:t>
      </w:r>
      <w:r w:rsidRPr="005237DE">
        <w:rPr>
          <w:b/>
          <w:bCs/>
          <w:color w:val="000000"/>
          <w:sz w:val="24"/>
          <w:szCs w:val="24"/>
        </w:rPr>
        <w:t>. 201</w:t>
      </w:r>
      <w:r w:rsidR="005237DE" w:rsidRPr="005237DE">
        <w:rPr>
          <w:b/>
          <w:bCs/>
          <w:color w:val="000000"/>
          <w:sz w:val="24"/>
          <w:szCs w:val="24"/>
        </w:rPr>
        <w:t>6</w:t>
      </w:r>
      <w:r w:rsidRPr="005237DE">
        <w:rPr>
          <w:bCs/>
          <w:color w:val="000000"/>
          <w:sz w:val="24"/>
          <w:szCs w:val="24"/>
        </w:rPr>
        <w:tab/>
      </w:r>
    </w:p>
    <w:p w:rsidR="00682D96" w:rsidRPr="00061322" w:rsidRDefault="00682D96" w:rsidP="00682D96">
      <w:pPr>
        <w:rPr>
          <w:bCs/>
          <w:color w:val="000000"/>
          <w:sz w:val="24"/>
          <w:szCs w:val="24"/>
          <w:highlight w:val="yellow"/>
        </w:rPr>
      </w:pPr>
    </w:p>
    <w:p w:rsidR="00682D96" w:rsidRPr="00061322" w:rsidRDefault="00682D96" w:rsidP="00682D96">
      <w:pPr>
        <w:rPr>
          <w:bCs/>
          <w:color w:val="000000"/>
          <w:sz w:val="24"/>
          <w:szCs w:val="24"/>
          <w:highlight w:val="yellow"/>
        </w:rPr>
      </w:pPr>
      <w:r w:rsidRPr="005237DE">
        <w:rPr>
          <w:bCs/>
          <w:color w:val="000000"/>
          <w:sz w:val="24"/>
          <w:szCs w:val="24"/>
        </w:rPr>
        <w:t>Místo plnění díla je Město Libavá, okres Olomouc.</w:t>
      </w:r>
    </w:p>
    <w:p w:rsidR="00AE2642" w:rsidRPr="00874965" w:rsidRDefault="00F866AD" w:rsidP="002A14A6">
      <w:pPr>
        <w:pStyle w:val="Nadpis4"/>
        <w:keepNext w:val="0"/>
        <w:spacing w:before="480" w:after="240"/>
        <w:rPr>
          <w:rFonts w:ascii="Times New Roman" w:hAnsi="Times New Roman"/>
          <w:color w:val="auto"/>
        </w:rPr>
      </w:pPr>
      <w:r w:rsidRPr="00874965">
        <w:rPr>
          <w:rFonts w:ascii="Times New Roman" w:hAnsi="Times New Roman"/>
          <w:color w:val="auto"/>
          <w:szCs w:val="24"/>
        </w:rPr>
        <w:t xml:space="preserve">III. </w:t>
      </w:r>
      <w:r w:rsidR="00AE2642" w:rsidRPr="00874965">
        <w:rPr>
          <w:rFonts w:ascii="Times New Roman" w:hAnsi="Times New Roman"/>
          <w:color w:val="auto"/>
          <w:szCs w:val="24"/>
        </w:rPr>
        <w:t>CENA</w:t>
      </w:r>
      <w:r w:rsidR="00AE2642" w:rsidRPr="00874965">
        <w:rPr>
          <w:rFonts w:ascii="Times New Roman" w:hAnsi="Times New Roman"/>
          <w:color w:val="auto"/>
        </w:rPr>
        <w:t xml:space="preserve"> DÍLA</w:t>
      </w:r>
    </w:p>
    <w:p w:rsidR="009A3F58" w:rsidRPr="00874965" w:rsidRDefault="009A3F58" w:rsidP="00B46B1D">
      <w:pPr>
        <w:spacing w:after="120"/>
        <w:jc w:val="both"/>
        <w:rPr>
          <w:sz w:val="24"/>
        </w:rPr>
      </w:pPr>
      <w:r w:rsidRPr="00874965">
        <w:rPr>
          <w:b/>
          <w:sz w:val="24"/>
        </w:rPr>
        <w:t>Cena za předmět díla bez DPH</w:t>
      </w:r>
      <w:r w:rsidRPr="00874965">
        <w:rPr>
          <w:sz w:val="24"/>
        </w:rPr>
        <w:t xml:space="preserve"> je cenou konečnou, nejvýše přípustnou, ve které jsou zahrnuty veškeré náklady dle článku I této smlouvy a činí: </w:t>
      </w:r>
      <w:r w:rsidRPr="00874965">
        <w:rPr>
          <w:b/>
          <w:sz w:val="24"/>
          <w:highlight w:val="yellow"/>
        </w:rPr>
        <w:t>………………………….</w:t>
      </w:r>
      <w:r w:rsidRPr="00874965">
        <w:rPr>
          <w:b/>
          <w:sz w:val="24"/>
        </w:rPr>
        <w:t>,-</w:t>
      </w:r>
      <w:r w:rsidR="00566F27" w:rsidRPr="00874965">
        <w:rPr>
          <w:b/>
          <w:sz w:val="24"/>
        </w:rPr>
        <w:t xml:space="preserve"> </w:t>
      </w:r>
      <w:r w:rsidRPr="00874965">
        <w:rPr>
          <w:b/>
          <w:sz w:val="24"/>
        </w:rPr>
        <w:t>Kč</w:t>
      </w:r>
    </w:p>
    <w:p w:rsidR="009A3F58" w:rsidRPr="00874965" w:rsidRDefault="009A3F58" w:rsidP="00B46B1D">
      <w:pPr>
        <w:tabs>
          <w:tab w:val="left" w:pos="1080"/>
          <w:tab w:val="right" w:pos="7740"/>
        </w:tabs>
        <w:ind w:left="540"/>
        <w:jc w:val="both"/>
        <w:rPr>
          <w:b/>
          <w:sz w:val="24"/>
        </w:rPr>
      </w:pPr>
    </w:p>
    <w:p w:rsidR="009A3F58" w:rsidRPr="00874965" w:rsidRDefault="009A3F58" w:rsidP="00B46B1D">
      <w:pPr>
        <w:tabs>
          <w:tab w:val="left" w:pos="1080"/>
          <w:tab w:val="right" w:pos="7740"/>
        </w:tabs>
        <w:jc w:val="both"/>
        <w:rPr>
          <w:sz w:val="24"/>
        </w:rPr>
      </w:pPr>
      <w:r w:rsidRPr="00874965">
        <w:rPr>
          <w:sz w:val="24"/>
        </w:rPr>
        <w:t>slovy:</w:t>
      </w:r>
      <w:r w:rsidRPr="00874965">
        <w:rPr>
          <w:sz w:val="24"/>
        </w:rPr>
        <w:tab/>
        <w:t>„</w:t>
      </w:r>
      <w:r w:rsidRPr="00874965">
        <w:rPr>
          <w:sz w:val="24"/>
          <w:highlight w:val="yellow"/>
        </w:rPr>
        <w:t>………………………………………………………</w:t>
      </w:r>
      <w:proofErr w:type="gramStart"/>
      <w:r w:rsidRPr="00874965">
        <w:rPr>
          <w:sz w:val="24"/>
          <w:highlight w:val="yellow"/>
        </w:rPr>
        <w:t>…..</w:t>
      </w:r>
      <w:proofErr w:type="spellStart"/>
      <w:r w:rsidRPr="00874965">
        <w:rPr>
          <w:sz w:val="24"/>
        </w:rPr>
        <w:t>korunčeských</w:t>
      </w:r>
      <w:proofErr w:type="spellEnd"/>
      <w:proofErr w:type="gramEnd"/>
      <w:r w:rsidRPr="00874965">
        <w:rPr>
          <w:sz w:val="24"/>
        </w:rPr>
        <w:t>“</w:t>
      </w:r>
    </w:p>
    <w:p w:rsidR="009A3F58" w:rsidRPr="00874965" w:rsidRDefault="009A3F58" w:rsidP="00B46B1D">
      <w:pPr>
        <w:jc w:val="center"/>
        <w:rPr>
          <w:sz w:val="24"/>
        </w:rPr>
      </w:pPr>
    </w:p>
    <w:p w:rsidR="009A3F58" w:rsidRPr="00874965" w:rsidRDefault="009A3F58" w:rsidP="00B46B1D">
      <w:pPr>
        <w:jc w:val="center"/>
        <w:rPr>
          <w:sz w:val="24"/>
        </w:rPr>
      </w:pPr>
    </w:p>
    <w:p w:rsidR="009A3F58" w:rsidRPr="00874965" w:rsidRDefault="009A3F58" w:rsidP="00B46B1D">
      <w:pPr>
        <w:rPr>
          <w:b/>
          <w:sz w:val="24"/>
          <w:szCs w:val="24"/>
        </w:rPr>
      </w:pPr>
      <w:r w:rsidRPr="00874965">
        <w:rPr>
          <w:b/>
          <w:sz w:val="24"/>
          <w:szCs w:val="24"/>
        </w:rPr>
        <w:t>DPH bude účtováno v sazbě platné ke dni uskutečnění zdanitelného plnění.</w:t>
      </w:r>
    </w:p>
    <w:p w:rsidR="00AE2642" w:rsidRPr="002A4133" w:rsidRDefault="00F866AD" w:rsidP="002A14A6">
      <w:pPr>
        <w:spacing w:beforeLines="150" w:before="360" w:after="240"/>
        <w:jc w:val="center"/>
        <w:rPr>
          <w:b/>
          <w:caps/>
          <w:sz w:val="24"/>
          <w:u w:val="single"/>
        </w:rPr>
      </w:pPr>
      <w:r w:rsidRPr="002A4133">
        <w:rPr>
          <w:b/>
          <w:caps/>
          <w:sz w:val="24"/>
          <w:u w:val="single"/>
        </w:rPr>
        <w:t xml:space="preserve">IV. </w:t>
      </w:r>
      <w:r w:rsidR="00AE2642" w:rsidRPr="002A4133">
        <w:rPr>
          <w:b/>
          <w:caps/>
          <w:sz w:val="24"/>
          <w:u w:val="single"/>
        </w:rPr>
        <w:t>platební a fakturační podmínky</w:t>
      </w:r>
    </w:p>
    <w:p w:rsidR="00095FDB" w:rsidRPr="002A4133" w:rsidRDefault="00AE2642" w:rsidP="00095FDB">
      <w:pPr>
        <w:numPr>
          <w:ilvl w:val="0"/>
          <w:numId w:val="2"/>
        </w:numPr>
        <w:tabs>
          <w:tab w:val="left" w:pos="0"/>
        </w:tabs>
        <w:spacing w:before="100" w:beforeAutospacing="1" w:after="120"/>
        <w:jc w:val="both"/>
        <w:rPr>
          <w:sz w:val="24"/>
        </w:rPr>
      </w:pPr>
      <w:r w:rsidRPr="002A4133">
        <w:rPr>
          <w:sz w:val="24"/>
        </w:rPr>
        <w:t>Objednatel zálohy neposkytuje.</w:t>
      </w:r>
    </w:p>
    <w:p w:rsidR="00DC20E2" w:rsidRPr="002A4133" w:rsidRDefault="00DC20E2" w:rsidP="002A4133">
      <w:pPr>
        <w:pStyle w:val="Odstavecseseznamem"/>
        <w:numPr>
          <w:ilvl w:val="0"/>
          <w:numId w:val="2"/>
        </w:numPr>
        <w:jc w:val="both"/>
        <w:rPr>
          <w:rFonts w:ascii="Times New Roman" w:hAnsi="Times New Roman"/>
          <w:sz w:val="24"/>
          <w:szCs w:val="20"/>
        </w:rPr>
      </w:pPr>
      <w:r w:rsidRPr="002A4133">
        <w:rPr>
          <w:rFonts w:ascii="Times New Roman" w:hAnsi="Times New Roman"/>
          <w:sz w:val="24"/>
          <w:szCs w:val="20"/>
        </w:rPr>
        <w:t xml:space="preserve">Fakturace </w:t>
      </w:r>
      <w:r w:rsidR="002A4133" w:rsidRPr="002A4133">
        <w:rPr>
          <w:rFonts w:ascii="Times New Roman" w:hAnsi="Times New Roman"/>
          <w:sz w:val="24"/>
          <w:szCs w:val="20"/>
        </w:rPr>
        <w:t>bude probíhat měsíčně do výše 100 % ceny díla na základě dílčích zjišťovacích protokolů potvrzených zástupci objednatele a TDS. Z každé faktury bude pozastavena částka ve výši 15% z ceny bez DPH. Pozastávka ve výši 15% bude uvolněna po předání díla bez vad a nedodělků, vždy na základě písemné žádosti zhotovitele a dodání příslušných dokladů (protokol o předání / převzetí díla a kolaudační souhlas s užíváním stavby).</w:t>
      </w:r>
    </w:p>
    <w:p w:rsidR="0075034C" w:rsidRPr="00396B2C" w:rsidRDefault="0075034C" w:rsidP="00095FDB">
      <w:pPr>
        <w:numPr>
          <w:ilvl w:val="0"/>
          <w:numId w:val="2"/>
        </w:numPr>
        <w:tabs>
          <w:tab w:val="left" w:pos="0"/>
        </w:tabs>
        <w:spacing w:beforeLines="20" w:before="48" w:after="120"/>
        <w:jc w:val="both"/>
        <w:rPr>
          <w:bCs/>
          <w:sz w:val="24"/>
        </w:rPr>
      </w:pPr>
      <w:r w:rsidRPr="00396B2C">
        <w:rPr>
          <w:bCs/>
          <w:sz w:val="24"/>
        </w:rPr>
        <w:t>Zhotovitel je povinen v předmětu fakturace uvést přesný název akce včetně čísla smlouvy.</w:t>
      </w:r>
      <w:r w:rsidR="00E460FC" w:rsidRPr="00396B2C">
        <w:rPr>
          <w:sz w:val="24"/>
          <w:szCs w:val="24"/>
        </w:rPr>
        <w:t xml:space="preserve"> </w:t>
      </w:r>
      <w:r w:rsidR="00E460FC" w:rsidRPr="00396B2C">
        <w:rPr>
          <w:bCs/>
          <w:sz w:val="24"/>
        </w:rPr>
        <w:t>Faktury rozdělit na jednotlivé stavební soubory a tyto rozdělit na stavební a strojní část.</w:t>
      </w:r>
      <w:r w:rsidRPr="00396B2C">
        <w:rPr>
          <w:bCs/>
          <w:sz w:val="24"/>
        </w:rPr>
        <w:t xml:space="preserve"> Jinak bude faktura vrácena zhotoviteli k doplnění.</w:t>
      </w:r>
    </w:p>
    <w:p w:rsidR="00A87620" w:rsidRPr="00396B2C" w:rsidRDefault="00A87620" w:rsidP="002E7917">
      <w:pPr>
        <w:numPr>
          <w:ilvl w:val="0"/>
          <w:numId w:val="2"/>
        </w:numPr>
        <w:tabs>
          <w:tab w:val="left" w:pos="0"/>
        </w:tabs>
        <w:spacing w:beforeLines="20" w:before="48"/>
        <w:jc w:val="both"/>
        <w:rPr>
          <w:bCs/>
          <w:sz w:val="24"/>
        </w:rPr>
      </w:pPr>
      <w:r w:rsidRPr="00396B2C">
        <w:rPr>
          <w:bCs/>
          <w:sz w:val="24"/>
        </w:rPr>
        <w:t>Daňový doklad musí obsahovat údaje podle zákona č. 235/2004 Sb., o dani z přidané hodnot</w:t>
      </w:r>
      <w:r w:rsidR="008C12D8" w:rsidRPr="00396B2C">
        <w:rPr>
          <w:bCs/>
          <w:sz w:val="24"/>
        </w:rPr>
        <w:t>y, ve znění pozdějších předpisů, včetně uvedení klasifikace CZ-CPA, a dále údaje pro účely stanovení režimu přenesené daňové povinnosti v souladu s § 92a zákona.</w:t>
      </w:r>
    </w:p>
    <w:p w:rsidR="0075034C" w:rsidRPr="00396B2C" w:rsidRDefault="00095FDB" w:rsidP="00095FDB">
      <w:pPr>
        <w:numPr>
          <w:ilvl w:val="0"/>
          <w:numId w:val="2"/>
        </w:numPr>
        <w:tabs>
          <w:tab w:val="left" w:pos="0"/>
        </w:tabs>
        <w:spacing w:before="120"/>
        <w:jc w:val="both"/>
        <w:rPr>
          <w:b/>
          <w:sz w:val="24"/>
        </w:rPr>
      </w:pPr>
      <w:r w:rsidRPr="00396B2C">
        <w:rPr>
          <w:sz w:val="24"/>
        </w:rPr>
        <w:t xml:space="preserve">Lhůta splatnosti je </w:t>
      </w:r>
      <w:r w:rsidR="00BE3A33" w:rsidRPr="00396B2C">
        <w:rPr>
          <w:b/>
          <w:sz w:val="24"/>
        </w:rPr>
        <w:t>3</w:t>
      </w:r>
      <w:r w:rsidR="00F634A8" w:rsidRPr="00396B2C">
        <w:rPr>
          <w:b/>
          <w:sz w:val="24"/>
        </w:rPr>
        <w:t>0</w:t>
      </w:r>
      <w:r w:rsidRPr="00396B2C">
        <w:rPr>
          <w:b/>
          <w:sz w:val="24"/>
        </w:rPr>
        <w:t xml:space="preserve"> dní</w:t>
      </w:r>
      <w:r w:rsidRPr="00396B2C">
        <w:rPr>
          <w:sz w:val="24"/>
        </w:rPr>
        <w:t xml:space="preserve"> od doručení faktury objednateli (originál faktury + kopie zápisu o předání a převzetí). Adresa pro zaslání faktury: A</w:t>
      </w:r>
      <w:r w:rsidR="00BF2F1E" w:rsidRPr="00396B2C">
        <w:rPr>
          <w:sz w:val="24"/>
        </w:rPr>
        <w:t>rmádní Servisní</w:t>
      </w:r>
      <w:r w:rsidRPr="00396B2C">
        <w:rPr>
          <w:sz w:val="24"/>
        </w:rPr>
        <w:t>, příspěvková organizace, Podbabská 1589/1, 160 00 Praha 6 – Dejvice</w:t>
      </w:r>
      <w:r w:rsidR="0075034C" w:rsidRPr="00396B2C">
        <w:rPr>
          <w:color w:val="000000"/>
          <w:sz w:val="24"/>
        </w:rPr>
        <w:t>.</w:t>
      </w:r>
    </w:p>
    <w:p w:rsidR="00AE2642" w:rsidRPr="00396B2C" w:rsidRDefault="00AE2642" w:rsidP="0075034C">
      <w:pPr>
        <w:numPr>
          <w:ilvl w:val="0"/>
          <w:numId w:val="2"/>
        </w:numPr>
        <w:tabs>
          <w:tab w:val="left" w:pos="0"/>
        </w:tabs>
        <w:spacing w:before="120"/>
        <w:jc w:val="both"/>
        <w:rPr>
          <w:b/>
          <w:sz w:val="24"/>
        </w:rPr>
      </w:pPr>
      <w:r w:rsidRPr="00396B2C">
        <w:rPr>
          <w:color w:val="000000"/>
          <w:sz w:val="24"/>
          <w:szCs w:val="24"/>
        </w:rPr>
        <w:lastRenderedPageBreak/>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396B2C">
        <w:rPr>
          <w:color w:val="000000"/>
          <w:sz w:val="24"/>
          <w:szCs w:val="24"/>
        </w:rPr>
        <w:t>zhotovitel</w:t>
      </w:r>
      <w:r w:rsidRPr="00396B2C">
        <w:rPr>
          <w:color w:val="000000"/>
          <w:sz w:val="24"/>
          <w:szCs w:val="24"/>
        </w:rPr>
        <w:t xml:space="preserve"> vystaví fakturu novou. Oprávněným vrácením faktury přestává běžet původní lhůta splatnosti a běží znovu ode dne doručení nové faktury objednateli.</w:t>
      </w:r>
    </w:p>
    <w:p w:rsidR="00AE2642" w:rsidRPr="00061322" w:rsidRDefault="00F866AD" w:rsidP="002A14A6">
      <w:pPr>
        <w:pStyle w:val="Nadpis6"/>
        <w:spacing w:beforeLines="150" w:before="360" w:after="240"/>
        <w:rPr>
          <w:rFonts w:ascii="Times New Roman" w:hAnsi="Times New Roman"/>
          <w:highlight w:val="yellow"/>
        </w:rPr>
      </w:pPr>
      <w:r w:rsidRPr="00396B2C">
        <w:rPr>
          <w:rFonts w:ascii="Times New Roman" w:hAnsi="Times New Roman"/>
        </w:rPr>
        <w:t xml:space="preserve">V. </w:t>
      </w:r>
      <w:r w:rsidR="00AE2642" w:rsidRPr="00396B2C">
        <w:rPr>
          <w:rFonts w:ascii="Times New Roman" w:hAnsi="Times New Roman"/>
        </w:rPr>
        <w:t xml:space="preserve">SOUČINNOST </w:t>
      </w:r>
      <w:r w:rsidR="00AE2642" w:rsidRPr="007C3547">
        <w:rPr>
          <w:rFonts w:ascii="Times New Roman" w:hAnsi="Times New Roman"/>
        </w:rPr>
        <w:t>OBJEDNATELE A ZHOTOVITELE</w:t>
      </w:r>
    </w:p>
    <w:p w:rsidR="0075034C" w:rsidRPr="00DD505A" w:rsidRDefault="0075034C" w:rsidP="007D4A64">
      <w:pPr>
        <w:numPr>
          <w:ilvl w:val="0"/>
          <w:numId w:val="5"/>
        </w:numPr>
        <w:jc w:val="both"/>
        <w:rPr>
          <w:sz w:val="24"/>
        </w:rPr>
      </w:pPr>
      <w:r w:rsidRPr="00DD505A">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DD505A">
        <w:rPr>
          <w:sz w:val="24"/>
        </w:rPr>
        <w:t>pečnostní a ekologické předpisy</w:t>
      </w:r>
      <w:r w:rsidRPr="00DD505A">
        <w:rPr>
          <w:sz w:val="24"/>
        </w:rPr>
        <w:t xml:space="preserve"> a závazné normy.</w:t>
      </w:r>
    </w:p>
    <w:p w:rsidR="003C7384" w:rsidRPr="00DD505A" w:rsidRDefault="0075034C" w:rsidP="003C7384">
      <w:pPr>
        <w:numPr>
          <w:ilvl w:val="0"/>
          <w:numId w:val="5"/>
        </w:numPr>
        <w:spacing w:before="120"/>
        <w:jc w:val="both"/>
        <w:rPr>
          <w:sz w:val="24"/>
        </w:rPr>
      </w:pPr>
      <w:r w:rsidRPr="00DD505A">
        <w:rPr>
          <w:sz w:val="24"/>
        </w:rPr>
        <w:t xml:space="preserve">Objednatel se zavazuje předat zhotoviteli </w:t>
      </w:r>
      <w:r w:rsidR="00705208" w:rsidRPr="00DD505A">
        <w:rPr>
          <w:sz w:val="24"/>
        </w:rPr>
        <w:t xml:space="preserve">a zhotovitel převzít do 7 dnů od podpisu smlouvy </w:t>
      </w:r>
      <w:r w:rsidR="00791998" w:rsidRPr="00DD505A">
        <w:rPr>
          <w:sz w:val="24"/>
        </w:rPr>
        <w:t>staveniště</w:t>
      </w:r>
      <w:r w:rsidRPr="00DD505A">
        <w:rPr>
          <w:sz w:val="24"/>
        </w:rPr>
        <w:t xml:space="preserve"> způsobilé k řádnému a nerušenému plnění předmětu díla ve smyslu této smlouvy. </w:t>
      </w:r>
      <w:r w:rsidR="003C7384" w:rsidRPr="00DD505A">
        <w:rPr>
          <w:sz w:val="24"/>
        </w:rPr>
        <w:t xml:space="preserve"> </w:t>
      </w:r>
    </w:p>
    <w:p w:rsidR="002B65DD" w:rsidRPr="00DD505A" w:rsidRDefault="002B65DD" w:rsidP="00654A49">
      <w:pPr>
        <w:numPr>
          <w:ilvl w:val="0"/>
          <w:numId w:val="5"/>
        </w:numPr>
        <w:spacing w:before="120"/>
        <w:jc w:val="both"/>
        <w:rPr>
          <w:sz w:val="24"/>
        </w:rPr>
      </w:pPr>
      <w:r w:rsidRPr="00DD505A">
        <w:rPr>
          <w:sz w:val="24"/>
        </w:rPr>
        <w:t xml:space="preserve">Zhotovitel zahájí stavební práce </w:t>
      </w:r>
      <w:r w:rsidR="00791998" w:rsidRPr="00DD505A">
        <w:rPr>
          <w:sz w:val="24"/>
        </w:rPr>
        <w:t>bez zbytečného odkladu</w:t>
      </w:r>
      <w:r w:rsidRPr="00DD505A">
        <w:rPr>
          <w:sz w:val="24"/>
        </w:rPr>
        <w:t xml:space="preserve"> po předání staveniště objednatelem a ukončí stavební práce nejpozději do termínu </w:t>
      </w:r>
      <w:r w:rsidR="002354D1" w:rsidRPr="00DD505A">
        <w:rPr>
          <w:sz w:val="24"/>
        </w:rPr>
        <w:t>uvedeného</w:t>
      </w:r>
      <w:r w:rsidRPr="00DD505A">
        <w:rPr>
          <w:sz w:val="24"/>
        </w:rPr>
        <w:t xml:space="preserve"> v</w:t>
      </w:r>
      <w:r w:rsidR="00791998" w:rsidRPr="00DD505A">
        <w:rPr>
          <w:sz w:val="24"/>
        </w:rPr>
        <w:t> článku</w:t>
      </w:r>
      <w:r w:rsidR="002354D1" w:rsidRPr="00DD505A">
        <w:rPr>
          <w:sz w:val="24"/>
        </w:rPr>
        <w:t xml:space="preserve">. </w:t>
      </w:r>
      <w:r w:rsidR="003C7384" w:rsidRPr="00DD505A">
        <w:rPr>
          <w:sz w:val="24"/>
        </w:rPr>
        <w:t xml:space="preserve">II. </w:t>
      </w:r>
      <w:r w:rsidR="00791998" w:rsidRPr="00DD505A">
        <w:rPr>
          <w:sz w:val="24"/>
        </w:rPr>
        <w:t> </w:t>
      </w:r>
      <w:r w:rsidRPr="00DD505A">
        <w:rPr>
          <w:sz w:val="24"/>
        </w:rPr>
        <w:t>této smlouvy.</w:t>
      </w:r>
    </w:p>
    <w:p w:rsidR="0075034C" w:rsidRPr="00DD505A" w:rsidRDefault="0075034C" w:rsidP="0075034C">
      <w:pPr>
        <w:numPr>
          <w:ilvl w:val="0"/>
          <w:numId w:val="5"/>
        </w:numPr>
        <w:spacing w:before="120"/>
        <w:jc w:val="both"/>
        <w:rPr>
          <w:sz w:val="24"/>
        </w:rPr>
      </w:pPr>
      <w:r w:rsidRPr="00DD505A">
        <w:rPr>
          <w:sz w:val="24"/>
        </w:rPr>
        <w:t>Objednatel se zavazuje, že umožní po dokončení díla zhotoviteli přístup do objektu díla za účelem odstranění případných vad.</w:t>
      </w:r>
    </w:p>
    <w:p w:rsidR="0075034C" w:rsidRPr="00DD505A" w:rsidRDefault="0075034C" w:rsidP="0075034C">
      <w:pPr>
        <w:numPr>
          <w:ilvl w:val="0"/>
          <w:numId w:val="5"/>
        </w:numPr>
        <w:tabs>
          <w:tab w:val="left" w:pos="0"/>
        </w:tabs>
        <w:spacing w:before="120"/>
        <w:jc w:val="both"/>
        <w:rPr>
          <w:b/>
          <w:sz w:val="24"/>
        </w:rPr>
      </w:pPr>
      <w:r w:rsidRPr="00DD505A">
        <w:rPr>
          <w:sz w:val="24"/>
        </w:rPr>
        <w:t>Objednatel je oprávněn průbě</w:t>
      </w:r>
      <w:r w:rsidR="00053D8D" w:rsidRPr="00DD505A">
        <w:rPr>
          <w:sz w:val="24"/>
        </w:rPr>
        <w:t>žně kontrolovat provádění díla</w:t>
      </w:r>
      <w:r w:rsidR="00455900" w:rsidRPr="00DD505A">
        <w:rPr>
          <w:sz w:val="24"/>
        </w:rPr>
        <w:t xml:space="preserve"> formou kontrolních dnů, kdy 1</w:t>
      </w:r>
      <w:r w:rsidR="003972B8" w:rsidRPr="00DD505A">
        <w:rPr>
          <w:sz w:val="24"/>
        </w:rPr>
        <w:t>.</w:t>
      </w:r>
      <w:r w:rsidR="00455900" w:rsidRPr="00DD505A">
        <w:rPr>
          <w:sz w:val="24"/>
        </w:rPr>
        <w:t xml:space="preserve"> kontrolní den stanoví objednatel při předání staveniště. Další kontrolní den bude stanoven po dohodě se zhotovitelem.</w:t>
      </w:r>
    </w:p>
    <w:p w:rsidR="00455900" w:rsidRPr="00DD505A" w:rsidRDefault="003972B8" w:rsidP="0075034C">
      <w:pPr>
        <w:numPr>
          <w:ilvl w:val="0"/>
          <w:numId w:val="5"/>
        </w:numPr>
        <w:tabs>
          <w:tab w:val="left" w:pos="0"/>
        </w:tabs>
        <w:spacing w:before="120"/>
        <w:jc w:val="both"/>
        <w:rPr>
          <w:b/>
          <w:sz w:val="24"/>
        </w:rPr>
      </w:pPr>
      <w:r w:rsidRPr="00DD505A">
        <w:rPr>
          <w:sz w:val="24"/>
        </w:rPr>
        <w:t>Zhotovitel je povinen písemně vyzvat objednatele k převzetí konstrukcí, které budou zakryty, minimálně 3 pracovní dny předem. O převzetí konstrukcí bude učiněn zápis ve stavebním deníku.</w:t>
      </w:r>
    </w:p>
    <w:p w:rsidR="00455900" w:rsidRPr="00DD505A" w:rsidRDefault="00455900" w:rsidP="0075034C">
      <w:pPr>
        <w:numPr>
          <w:ilvl w:val="0"/>
          <w:numId w:val="5"/>
        </w:numPr>
        <w:tabs>
          <w:tab w:val="left" w:pos="0"/>
        </w:tabs>
        <w:spacing w:before="120"/>
        <w:jc w:val="both"/>
        <w:rPr>
          <w:b/>
          <w:sz w:val="24"/>
        </w:rPr>
      </w:pPr>
      <w:r w:rsidRPr="00DD505A">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9345E" w:rsidRPr="00DD505A" w:rsidRDefault="009D658A" w:rsidP="0075034C">
      <w:pPr>
        <w:numPr>
          <w:ilvl w:val="0"/>
          <w:numId w:val="5"/>
        </w:numPr>
        <w:tabs>
          <w:tab w:val="left" w:pos="0"/>
        </w:tabs>
        <w:spacing w:before="120"/>
        <w:jc w:val="both"/>
        <w:rPr>
          <w:b/>
          <w:sz w:val="24"/>
        </w:rPr>
      </w:pPr>
      <w:r w:rsidRPr="00DD505A">
        <w:rPr>
          <w:sz w:val="24"/>
        </w:rPr>
        <w:t>V rámci provádění díla</w:t>
      </w:r>
      <w:r w:rsidR="0069345E" w:rsidRPr="00DD505A">
        <w:rPr>
          <w:sz w:val="24"/>
        </w:rPr>
        <w:t xml:space="preserve"> si zhotovitel zajistí povolení ke vstupu a přístupu do objektů a místností.</w:t>
      </w:r>
    </w:p>
    <w:p w:rsidR="00AE2642" w:rsidRPr="00DD505A" w:rsidRDefault="00F866AD" w:rsidP="002A14A6">
      <w:pPr>
        <w:pStyle w:val="Nadpis6"/>
        <w:keepNext w:val="0"/>
        <w:spacing w:beforeLines="150" w:before="360" w:after="240"/>
        <w:rPr>
          <w:rFonts w:ascii="Times New Roman" w:hAnsi="Times New Roman"/>
        </w:rPr>
      </w:pPr>
      <w:r w:rsidRPr="00DD505A">
        <w:rPr>
          <w:rFonts w:ascii="Times New Roman" w:hAnsi="Times New Roman"/>
        </w:rPr>
        <w:t xml:space="preserve">VI. </w:t>
      </w:r>
      <w:r w:rsidR="00AE2642" w:rsidRPr="00DD505A">
        <w:rPr>
          <w:rFonts w:ascii="Times New Roman" w:hAnsi="Times New Roman"/>
        </w:rPr>
        <w:t>Odpovědnost za vady – záruka</w:t>
      </w:r>
    </w:p>
    <w:p w:rsidR="004F706A" w:rsidRPr="00DD505A" w:rsidRDefault="00AE2642" w:rsidP="004F706A">
      <w:pPr>
        <w:numPr>
          <w:ilvl w:val="0"/>
          <w:numId w:val="6"/>
        </w:numPr>
        <w:spacing w:beforeLines="20" w:before="48"/>
        <w:jc w:val="both"/>
        <w:rPr>
          <w:sz w:val="24"/>
        </w:rPr>
      </w:pPr>
      <w:r w:rsidRPr="00DD505A">
        <w:rPr>
          <w:sz w:val="24"/>
        </w:rPr>
        <w:t>Záruční doba na provedené dílo j</w:t>
      </w:r>
      <w:r w:rsidR="00C51002" w:rsidRPr="00DD505A">
        <w:rPr>
          <w:sz w:val="24"/>
        </w:rPr>
        <w:t>e</w:t>
      </w:r>
      <w:r w:rsidR="004F706A" w:rsidRPr="00DD505A">
        <w:rPr>
          <w:b/>
          <w:sz w:val="24"/>
        </w:rPr>
        <w:t xml:space="preserve"> 60 měsíců</w:t>
      </w:r>
      <w:r w:rsidR="005B0BEF">
        <w:rPr>
          <w:b/>
          <w:sz w:val="24"/>
        </w:rPr>
        <w:t xml:space="preserve"> na celý předmět díla.</w:t>
      </w:r>
    </w:p>
    <w:p w:rsidR="0075034C" w:rsidRPr="00DD505A" w:rsidRDefault="0075034C" w:rsidP="0075034C">
      <w:pPr>
        <w:numPr>
          <w:ilvl w:val="0"/>
          <w:numId w:val="6"/>
        </w:numPr>
        <w:spacing w:before="120"/>
        <w:jc w:val="both"/>
        <w:rPr>
          <w:sz w:val="24"/>
        </w:rPr>
      </w:pPr>
      <w:r w:rsidRPr="00DD505A">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DD505A" w:rsidRDefault="0075034C" w:rsidP="0075034C">
      <w:pPr>
        <w:numPr>
          <w:ilvl w:val="0"/>
          <w:numId w:val="6"/>
        </w:numPr>
        <w:spacing w:before="120"/>
        <w:jc w:val="both"/>
        <w:rPr>
          <w:sz w:val="24"/>
        </w:rPr>
      </w:pPr>
      <w:r w:rsidRPr="00DD505A">
        <w:rPr>
          <w:sz w:val="24"/>
        </w:rPr>
        <w:t xml:space="preserve">V záruční době se odstraňují skryté vady zdarma. </w:t>
      </w:r>
    </w:p>
    <w:p w:rsidR="0075034C" w:rsidRPr="00157829" w:rsidRDefault="0075034C" w:rsidP="0075034C">
      <w:pPr>
        <w:numPr>
          <w:ilvl w:val="0"/>
          <w:numId w:val="6"/>
        </w:numPr>
        <w:spacing w:before="120"/>
        <w:jc w:val="both"/>
        <w:rPr>
          <w:sz w:val="24"/>
        </w:rPr>
      </w:pPr>
      <w:r w:rsidRPr="00157829">
        <w:rPr>
          <w:sz w:val="24"/>
        </w:rPr>
        <w:t>Objednatel se zavazuje, že případnou reklamaci vady díla uplatní bez zbytečného odkladu po jejím zjištění, písemně do rukou oprávněného zástupce zhotovitele.</w:t>
      </w:r>
    </w:p>
    <w:p w:rsidR="0075034C" w:rsidRPr="00157829" w:rsidRDefault="0075034C" w:rsidP="0075034C">
      <w:pPr>
        <w:numPr>
          <w:ilvl w:val="0"/>
          <w:numId w:val="6"/>
        </w:numPr>
        <w:spacing w:before="120"/>
        <w:jc w:val="both"/>
        <w:rPr>
          <w:b/>
          <w:sz w:val="24"/>
        </w:rPr>
      </w:pPr>
      <w:r w:rsidRPr="00157829">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rsidR="00AE2642" w:rsidRPr="00157829" w:rsidRDefault="00F866AD" w:rsidP="002A14A6">
      <w:pPr>
        <w:pStyle w:val="Nadpis6"/>
        <w:keepNext w:val="0"/>
        <w:spacing w:beforeLines="150" w:before="360" w:after="240"/>
        <w:rPr>
          <w:rFonts w:ascii="Times New Roman" w:hAnsi="Times New Roman"/>
        </w:rPr>
      </w:pPr>
      <w:r w:rsidRPr="00157829">
        <w:rPr>
          <w:rFonts w:ascii="Times New Roman" w:hAnsi="Times New Roman"/>
        </w:rPr>
        <w:t xml:space="preserve">VII. </w:t>
      </w:r>
      <w:r w:rsidR="00AE2642" w:rsidRPr="00157829">
        <w:rPr>
          <w:rFonts w:ascii="Times New Roman" w:hAnsi="Times New Roman"/>
        </w:rPr>
        <w:t>ZVLÁŠTNÍ UJEDNÁNÍ</w:t>
      </w:r>
    </w:p>
    <w:p w:rsidR="0075034C" w:rsidRPr="00157829" w:rsidRDefault="0075034C" w:rsidP="002354D1">
      <w:pPr>
        <w:numPr>
          <w:ilvl w:val="0"/>
          <w:numId w:val="17"/>
        </w:numPr>
        <w:spacing w:after="120"/>
        <w:jc w:val="both"/>
        <w:rPr>
          <w:sz w:val="24"/>
        </w:rPr>
      </w:pPr>
      <w:r w:rsidRPr="00157829">
        <w:rPr>
          <w:sz w:val="24"/>
        </w:rPr>
        <w:t>Zhotovitel je povinen po celou dobu realizace díla dodržovat na převzatém staveništi čistotu a pořádek.</w:t>
      </w:r>
    </w:p>
    <w:p w:rsidR="002354D1" w:rsidRPr="00157829" w:rsidRDefault="002354D1" w:rsidP="00F634A8">
      <w:pPr>
        <w:numPr>
          <w:ilvl w:val="0"/>
          <w:numId w:val="17"/>
        </w:numPr>
        <w:tabs>
          <w:tab w:val="right" w:pos="4253"/>
        </w:tabs>
        <w:spacing w:after="120" w:line="288" w:lineRule="auto"/>
        <w:jc w:val="both"/>
        <w:rPr>
          <w:sz w:val="24"/>
          <w:szCs w:val="24"/>
        </w:rPr>
      </w:pPr>
      <w:r w:rsidRPr="00157829">
        <w:rPr>
          <w:sz w:val="24"/>
          <w:szCs w:val="24"/>
        </w:rPr>
        <w:t>Technický dozor nesmí provádět zhotovitel ani osoba s ním propojená dle § 46d zákona č. 137/2006 Sb.</w:t>
      </w:r>
    </w:p>
    <w:p w:rsidR="0075034C" w:rsidRPr="00157829" w:rsidRDefault="0075034C" w:rsidP="0075034C">
      <w:pPr>
        <w:numPr>
          <w:ilvl w:val="0"/>
          <w:numId w:val="17"/>
        </w:numPr>
        <w:spacing w:before="120"/>
        <w:jc w:val="both"/>
        <w:rPr>
          <w:sz w:val="24"/>
        </w:rPr>
      </w:pPr>
      <w:r w:rsidRPr="00157829">
        <w:rPr>
          <w:sz w:val="24"/>
        </w:rPr>
        <w:t xml:space="preserve">Převzetím staveniště zhotovitel přebírá v plném rozsahu odpovědnost za dodržování </w:t>
      </w:r>
      <w:r w:rsidR="00C12C0B" w:rsidRPr="00157829">
        <w:rPr>
          <w:sz w:val="24"/>
        </w:rPr>
        <w:t xml:space="preserve">platných </w:t>
      </w:r>
      <w:r w:rsidRPr="00157829">
        <w:rPr>
          <w:sz w:val="24"/>
        </w:rPr>
        <w:t>předpisů zajišťujících bezpečnost a ochranu zdraví, za dodržování příslušných protipožárních opatření a hygienických předpisů</w:t>
      </w:r>
      <w:r w:rsidR="00C12C0B" w:rsidRPr="00157829">
        <w:rPr>
          <w:sz w:val="24"/>
        </w:rPr>
        <w:t xml:space="preserve"> a ČSN.</w:t>
      </w:r>
    </w:p>
    <w:p w:rsidR="00197CB7" w:rsidRPr="00157829" w:rsidRDefault="00197CB7" w:rsidP="0075034C">
      <w:pPr>
        <w:numPr>
          <w:ilvl w:val="0"/>
          <w:numId w:val="17"/>
        </w:numPr>
        <w:spacing w:before="120"/>
        <w:jc w:val="both"/>
        <w:rPr>
          <w:sz w:val="24"/>
        </w:rPr>
      </w:pPr>
      <w:r w:rsidRPr="00157829">
        <w:rPr>
          <w:sz w:val="24"/>
        </w:rPr>
        <w:t xml:space="preserve">Odstranění zařízení staveniště a vyklizení staveniště </w:t>
      </w:r>
      <w:r w:rsidR="0004438B" w:rsidRPr="00157829">
        <w:rPr>
          <w:sz w:val="24"/>
        </w:rPr>
        <w:t xml:space="preserve">bude provedeno nejpozději </w:t>
      </w:r>
      <w:r w:rsidR="00F76CCA" w:rsidRPr="00157829">
        <w:rPr>
          <w:sz w:val="24"/>
        </w:rPr>
        <w:t>do 7 </w:t>
      </w:r>
      <w:r w:rsidR="00AB62F1" w:rsidRPr="00157829">
        <w:rPr>
          <w:sz w:val="24"/>
        </w:rPr>
        <w:t>kalendářních</w:t>
      </w:r>
      <w:r w:rsidR="0004438B" w:rsidRPr="00157829">
        <w:rPr>
          <w:sz w:val="24"/>
        </w:rPr>
        <w:t xml:space="preserve"> dnů ode dne</w:t>
      </w:r>
      <w:r w:rsidRPr="00157829">
        <w:rPr>
          <w:sz w:val="24"/>
        </w:rPr>
        <w:t xml:space="preserve"> předání a převzetí díla.</w:t>
      </w:r>
    </w:p>
    <w:p w:rsidR="0075034C" w:rsidRPr="00157829" w:rsidRDefault="0075034C" w:rsidP="0075034C">
      <w:pPr>
        <w:numPr>
          <w:ilvl w:val="0"/>
          <w:numId w:val="17"/>
        </w:numPr>
        <w:spacing w:before="120"/>
        <w:jc w:val="both"/>
        <w:rPr>
          <w:sz w:val="24"/>
        </w:rPr>
      </w:pPr>
      <w:r w:rsidRPr="00157829">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157829" w:rsidRDefault="00EA3BE5" w:rsidP="00EA3BE5">
      <w:pPr>
        <w:numPr>
          <w:ilvl w:val="0"/>
          <w:numId w:val="17"/>
        </w:numPr>
        <w:spacing w:before="120"/>
        <w:jc w:val="both"/>
        <w:rPr>
          <w:color w:val="000000" w:themeColor="text1"/>
          <w:sz w:val="24"/>
        </w:rPr>
      </w:pPr>
      <w:r w:rsidRPr="00157829">
        <w:rPr>
          <w:sz w:val="24"/>
        </w:rPr>
        <w:t xml:space="preserve">Všichni pracovníci realizace díla musí být státními příslušníky členských států EU nebo členských zemí NATO - realizace probíhá </w:t>
      </w:r>
      <w:r w:rsidR="00406998" w:rsidRPr="00157829">
        <w:rPr>
          <w:rFonts w:eastAsia="Calibri"/>
          <w:sz w:val="24"/>
          <w:szCs w:val="24"/>
        </w:rPr>
        <w:t xml:space="preserve">na zařízení </w:t>
      </w:r>
      <w:r w:rsidR="001A6F2A" w:rsidRPr="00157829">
        <w:rPr>
          <w:rFonts w:eastAsia="Calibri"/>
          <w:color w:val="000000" w:themeColor="text1"/>
          <w:sz w:val="24"/>
          <w:szCs w:val="24"/>
        </w:rPr>
        <w:t>ministerstva obrany.</w:t>
      </w:r>
    </w:p>
    <w:p w:rsidR="00197CB7" w:rsidRPr="00157829" w:rsidRDefault="00197CB7" w:rsidP="00197CB7">
      <w:pPr>
        <w:numPr>
          <w:ilvl w:val="0"/>
          <w:numId w:val="17"/>
        </w:numPr>
        <w:spacing w:before="120" w:after="120"/>
        <w:jc w:val="both"/>
        <w:rPr>
          <w:sz w:val="24"/>
        </w:rPr>
      </w:pPr>
      <w:r w:rsidRPr="00157829">
        <w:rPr>
          <w:sz w:val="24"/>
        </w:rPr>
        <w:t xml:space="preserve">Zhotovitel souhlasí se zveřejněním smlouvy na </w:t>
      </w:r>
      <w:r w:rsidR="00654A49" w:rsidRPr="00157829">
        <w:rPr>
          <w:sz w:val="24"/>
        </w:rPr>
        <w:t xml:space="preserve">e-tržišti </w:t>
      </w:r>
      <w:proofErr w:type="spellStart"/>
      <w:r w:rsidR="00654A49" w:rsidRPr="00157829">
        <w:rPr>
          <w:sz w:val="24"/>
        </w:rPr>
        <w:t>Tendermarket</w:t>
      </w:r>
      <w:proofErr w:type="spellEnd"/>
      <w:r w:rsidR="00654A49" w:rsidRPr="00157829">
        <w:rPr>
          <w:sz w:val="24"/>
        </w:rPr>
        <w:t xml:space="preserve"> (případně na webových stránkách objednatele).</w:t>
      </w:r>
    </w:p>
    <w:p w:rsidR="00B339C3" w:rsidRPr="00157829" w:rsidRDefault="00B339C3" w:rsidP="00B339C3">
      <w:pPr>
        <w:numPr>
          <w:ilvl w:val="0"/>
          <w:numId w:val="17"/>
        </w:numPr>
        <w:autoSpaceDE w:val="0"/>
        <w:autoSpaceDN w:val="0"/>
        <w:adjustRightInd w:val="0"/>
        <w:spacing w:after="120"/>
        <w:jc w:val="both"/>
        <w:rPr>
          <w:bCs/>
          <w:sz w:val="24"/>
          <w:szCs w:val="24"/>
        </w:rPr>
      </w:pPr>
      <w:r w:rsidRPr="00157829">
        <w:rPr>
          <w:sz w:val="24"/>
          <w:szCs w:val="24"/>
        </w:rPr>
        <w:t>Zhotovitel</w:t>
      </w:r>
      <w:r w:rsidRPr="00157829">
        <w:rPr>
          <w:bCs/>
          <w:sz w:val="24"/>
          <w:szCs w:val="24"/>
        </w:rPr>
        <w:t xml:space="preserve"> je povinen být po celou dobu trvání této smlouvy pojištěn na odpovědnost za škodu, a to v rozsahu, který plně odpovídá možnému vzniku škod při poskytovatelem prováděných činnostech. Výše limitu pojistného plnění nesmí klesnout pod </w:t>
      </w:r>
      <w:r w:rsidRPr="00157829">
        <w:rPr>
          <w:b/>
          <w:bCs/>
          <w:sz w:val="24"/>
          <w:szCs w:val="24"/>
        </w:rPr>
        <w:t>5.000.000,- Kč</w:t>
      </w:r>
      <w:r w:rsidRPr="00157829">
        <w:rPr>
          <w:bCs/>
          <w:sz w:val="24"/>
          <w:szCs w:val="24"/>
        </w:rPr>
        <w:t>. V případě, že dojde ke vzniku škody, která nebude kryta pojistnou smlouvou, je poskytovatel povinen tuto uhradit z vlastních prostředků, a to bez zbytečného odkladu po doručení výzvy k náhradě škody.</w:t>
      </w:r>
    </w:p>
    <w:p w:rsidR="002A14A6" w:rsidRPr="00157829" w:rsidRDefault="00B339C3" w:rsidP="002A14A6">
      <w:pPr>
        <w:numPr>
          <w:ilvl w:val="0"/>
          <w:numId w:val="17"/>
        </w:numPr>
        <w:autoSpaceDE w:val="0"/>
        <w:autoSpaceDN w:val="0"/>
        <w:adjustRightInd w:val="0"/>
        <w:spacing w:beforeLines="50" w:before="120" w:after="120"/>
        <w:jc w:val="both"/>
      </w:pPr>
      <w:r w:rsidRPr="00157829">
        <w:rPr>
          <w:color w:val="000000"/>
          <w:sz w:val="24"/>
          <w:szCs w:val="24"/>
        </w:rPr>
        <w:t>Při podpisu smlouvy předloží zhotovitel osvědčení Státního odborného technického dozoru MO dle vyhlášky č. 273/1999 Sb., v platném znění pro vyhrazená technická zařízení pro elektro a tlakové nádoby.</w:t>
      </w:r>
    </w:p>
    <w:p w:rsidR="00AE2642" w:rsidRPr="00370AFF" w:rsidRDefault="00F866AD" w:rsidP="001D601E">
      <w:pPr>
        <w:pStyle w:val="Nadpis6"/>
        <w:keepNext w:val="0"/>
        <w:spacing w:before="480" w:after="240"/>
        <w:rPr>
          <w:rFonts w:ascii="Times New Roman" w:hAnsi="Times New Roman"/>
        </w:rPr>
      </w:pPr>
      <w:r w:rsidRPr="00370AFF">
        <w:rPr>
          <w:rFonts w:ascii="Times New Roman" w:hAnsi="Times New Roman"/>
        </w:rPr>
        <w:t xml:space="preserve">VIII. </w:t>
      </w:r>
      <w:r w:rsidR="00AE2642" w:rsidRPr="00370AFF">
        <w:rPr>
          <w:rFonts w:ascii="Times New Roman" w:hAnsi="Times New Roman"/>
        </w:rPr>
        <w:t>PŘEDÁNÍ DÍLA</w:t>
      </w:r>
    </w:p>
    <w:p w:rsidR="00AE2642" w:rsidRPr="00370AFF" w:rsidRDefault="00F634A8" w:rsidP="001D601E">
      <w:pPr>
        <w:shd w:val="clear" w:color="00FFFF" w:fill="auto"/>
        <w:spacing w:before="360" w:after="240"/>
        <w:ind w:left="720" w:hanging="720"/>
        <w:jc w:val="both"/>
        <w:rPr>
          <w:sz w:val="24"/>
        </w:rPr>
      </w:pPr>
      <w:r w:rsidRPr="00370AFF">
        <w:rPr>
          <w:b/>
          <w:sz w:val="22"/>
          <w:szCs w:val="22"/>
        </w:rPr>
        <w:t>8.1</w:t>
      </w:r>
      <w:r w:rsidRPr="00370AFF">
        <w:rPr>
          <w:sz w:val="24"/>
        </w:rPr>
        <w:tab/>
      </w:r>
      <w:r w:rsidR="0075034C" w:rsidRPr="00370AFF">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370AFF">
        <w:rPr>
          <w:sz w:val="24"/>
        </w:rPr>
        <w:t>h stran, a při kterém zhotovitel předá a objednatel pře</w:t>
      </w:r>
      <w:r w:rsidR="002354D1" w:rsidRPr="00370AFF">
        <w:rPr>
          <w:sz w:val="24"/>
        </w:rPr>
        <w:t xml:space="preserve">vezme veškerou dokumentaci dle </w:t>
      </w:r>
      <w:r w:rsidR="00654A49" w:rsidRPr="00370AFF">
        <w:rPr>
          <w:sz w:val="24"/>
        </w:rPr>
        <w:t>č</w:t>
      </w:r>
      <w:r w:rsidR="00197CB7" w:rsidRPr="00370AFF">
        <w:rPr>
          <w:sz w:val="24"/>
        </w:rPr>
        <w:t xml:space="preserve">lánku </w:t>
      </w:r>
      <w:r w:rsidR="002354D1" w:rsidRPr="00370AFF">
        <w:rPr>
          <w:sz w:val="24"/>
        </w:rPr>
        <w:t xml:space="preserve">č. </w:t>
      </w:r>
      <w:r w:rsidR="00197CB7" w:rsidRPr="00370AFF">
        <w:rPr>
          <w:sz w:val="24"/>
        </w:rPr>
        <w:t>1 této smlouvy.</w:t>
      </w:r>
    </w:p>
    <w:p w:rsidR="008209F3" w:rsidRDefault="008209F3" w:rsidP="002A14A6">
      <w:pPr>
        <w:pStyle w:val="Nadpis6"/>
        <w:keepNext w:val="0"/>
        <w:spacing w:before="480" w:after="240"/>
        <w:rPr>
          <w:rFonts w:ascii="Times New Roman" w:hAnsi="Times New Roman"/>
        </w:rPr>
      </w:pPr>
    </w:p>
    <w:p w:rsidR="00AE2642" w:rsidRPr="00370AFF" w:rsidRDefault="00F866AD" w:rsidP="002A14A6">
      <w:pPr>
        <w:pStyle w:val="Nadpis6"/>
        <w:keepNext w:val="0"/>
        <w:spacing w:before="480" w:after="240"/>
        <w:rPr>
          <w:rFonts w:ascii="Times New Roman" w:hAnsi="Times New Roman"/>
        </w:rPr>
      </w:pPr>
      <w:r w:rsidRPr="00370AFF">
        <w:rPr>
          <w:rFonts w:ascii="Times New Roman" w:hAnsi="Times New Roman"/>
        </w:rPr>
        <w:lastRenderedPageBreak/>
        <w:t xml:space="preserve">IX. </w:t>
      </w:r>
      <w:r w:rsidR="00AE2642" w:rsidRPr="00370AFF">
        <w:rPr>
          <w:rFonts w:ascii="Times New Roman" w:hAnsi="Times New Roman"/>
        </w:rPr>
        <w:t>SMLUVNÍ POKUTY</w:t>
      </w:r>
    </w:p>
    <w:p w:rsidR="00AE2642" w:rsidRPr="00370AFF" w:rsidRDefault="00465C84" w:rsidP="007D4A64">
      <w:pPr>
        <w:numPr>
          <w:ilvl w:val="0"/>
          <w:numId w:val="8"/>
        </w:numPr>
        <w:tabs>
          <w:tab w:val="right" w:pos="9071"/>
        </w:tabs>
        <w:spacing w:after="120"/>
        <w:jc w:val="both"/>
        <w:rPr>
          <w:sz w:val="24"/>
        </w:rPr>
      </w:pPr>
      <w:r w:rsidRPr="00370AFF">
        <w:rPr>
          <w:sz w:val="24"/>
        </w:rPr>
        <w:t>Objednatel uhradí fakturu</w:t>
      </w:r>
      <w:r w:rsidR="00AE2642" w:rsidRPr="00370AFF">
        <w:rPr>
          <w:sz w:val="24"/>
        </w:rPr>
        <w:t xml:space="preserve"> zhotovitele nejpozději do </w:t>
      </w:r>
      <w:r w:rsidR="00606C15" w:rsidRPr="00370AFF">
        <w:rPr>
          <w:sz w:val="24"/>
        </w:rPr>
        <w:t>30</w:t>
      </w:r>
      <w:r w:rsidR="00AE2642" w:rsidRPr="00370AFF">
        <w:rPr>
          <w:sz w:val="24"/>
        </w:rPr>
        <w:t xml:space="preserve"> dnů po jej</w:t>
      </w:r>
      <w:r w:rsidRPr="00370AFF">
        <w:rPr>
          <w:sz w:val="24"/>
        </w:rPr>
        <w:t>ím</w:t>
      </w:r>
      <w:r w:rsidR="00AE2642" w:rsidRPr="00370AFF">
        <w:rPr>
          <w:sz w:val="24"/>
        </w:rPr>
        <w:t xml:space="preserve"> </w:t>
      </w:r>
      <w:r w:rsidR="00036744" w:rsidRPr="00370AFF">
        <w:rPr>
          <w:sz w:val="24"/>
        </w:rPr>
        <w:t>doručení</w:t>
      </w:r>
      <w:r w:rsidR="00AE2642" w:rsidRPr="00370AFF">
        <w:rPr>
          <w:sz w:val="24"/>
        </w:rPr>
        <w:t>. Za prodlení s úhradou faktur</w:t>
      </w:r>
      <w:r w:rsidRPr="00370AFF">
        <w:rPr>
          <w:sz w:val="24"/>
        </w:rPr>
        <w:t>y</w:t>
      </w:r>
      <w:r w:rsidR="00AE2642" w:rsidRPr="00370AFF">
        <w:rPr>
          <w:sz w:val="24"/>
        </w:rPr>
        <w:t xml:space="preserve"> zaplatí objednatel zhotoviteli smluvní pokutu ve výši 0,</w:t>
      </w:r>
      <w:r w:rsidR="00DB0147" w:rsidRPr="00370AFF">
        <w:rPr>
          <w:sz w:val="24"/>
        </w:rPr>
        <w:t>0</w:t>
      </w:r>
      <w:r w:rsidR="00AE2642" w:rsidRPr="00370AFF">
        <w:rPr>
          <w:sz w:val="24"/>
        </w:rPr>
        <w:t>5 % z fakturované částky za každý den prodlení.</w:t>
      </w:r>
    </w:p>
    <w:p w:rsidR="00AE2642" w:rsidRPr="00370AFF" w:rsidRDefault="00AE2642" w:rsidP="007D4A64">
      <w:pPr>
        <w:numPr>
          <w:ilvl w:val="0"/>
          <w:numId w:val="8"/>
        </w:numPr>
        <w:tabs>
          <w:tab w:val="right" w:pos="9071"/>
        </w:tabs>
        <w:spacing w:after="120"/>
        <w:jc w:val="both"/>
        <w:rPr>
          <w:bCs/>
          <w:sz w:val="24"/>
        </w:rPr>
      </w:pPr>
      <w:r w:rsidRPr="00370AFF">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370AFF">
        <w:rPr>
          <w:bCs/>
          <w:sz w:val="24"/>
        </w:rPr>
        <w:t>0</w:t>
      </w:r>
      <w:r w:rsidRPr="00370AFF">
        <w:rPr>
          <w:bCs/>
          <w:sz w:val="24"/>
        </w:rPr>
        <w:t>5 % z celkové ceny díla za každý i započatý den prodlení.</w:t>
      </w:r>
    </w:p>
    <w:p w:rsidR="00C85501" w:rsidRPr="00370AFF" w:rsidRDefault="00C85501" w:rsidP="007D4A64">
      <w:pPr>
        <w:numPr>
          <w:ilvl w:val="0"/>
          <w:numId w:val="8"/>
        </w:numPr>
        <w:tabs>
          <w:tab w:val="right" w:pos="9071"/>
        </w:tabs>
        <w:spacing w:after="120"/>
        <w:jc w:val="both"/>
        <w:rPr>
          <w:sz w:val="24"/>
        </w:rPr>
      </w:pPr>
      <w:r w:rsidRPr="00370AFF">
        <w:rPr>
          <w:sz w:val="24"/>
        </w:rPr>
        <w:t>Při neplnění podmínek smlouvy, porušování zákonných povinností nebo nedodržování schváleného harmonogramu provádění</w:t>
      </w:r>
      <w:r w:rsidR="00524874" w:rsidRPr="00370AFF">
        <w:rPr>
          <w:sz w:val="24"/>
        </w:rPr>
        <w:t xml:space="preserve"> (</w:t>
      </w:r>
      <w:r w:rsidRPr="00370AFF">
        <w:rPr>
          <w:sz w:val="24"/>
        </w:rPr>
        <w:t>při zpoždění větším než 10</w:t>
      </w:r>
      <w:r w:rsidR="00524874" w:rsidRPr="00370AFF">
        <w:rPr>
          <w:sz w:val="24"/>
        </w:rPr>
        <w:t xml:space="preserve"> kalendářních</w:t>
      </w:r>
      <w:r w:rsidRPr="00370AFF">
        <w:rPr>
          <w:sz w:val="24"/>
        </w:rPr>
        <w:t xml:space="preserve"> dnů</w:t>
      </w:r>
      <w:r w:rsidR="00524874" w:rsidRPr="00370AFF">
        <w:rPr>
          <w:sz w:val="24"/>
        </w:rPr>
        <w:t>)</w:t>
      </w:r>
      <w:r w:rsidRPr="00370AFF">
        <w:rPr>
          <w:sz w:val="24"/>
        </w:rPr>
        <w:t xml:space="preserve">, má právo objednatel na smluvní pokutu ve výši </w:t>
      </w:r>
      <w:r w:rsidR="001A6F2A" w:rsidRPr="00370AFF">
        <w:rPr>
          <w:sz w:val="24"/>
        </w:rPr>
        <w:t>0,05</w:t>
      </w:r>
      <w:r w:rsidR="006375DA" w:rsidRPr="00370AFF">
        <w:rPr>
          <w:sz w:val="24"/>
        </w:rPr>
        <w:t xml:space="preserve"> % z celkové smluvní ceny díla</w:t>
      </w:r>
      <w:r w:rsidRPr="00370AFF">
        <w:rPr>
          <w:sz w:val="24"/>
        </w:rPr>
        <w:t xml:space="preserve"> za každý započatý den a každé jednotlivé porušení.</w:t>
      </w:r>
    </w:p>
    <w:p w:rsidR="002354D1" w:rsidRPr="00370AFF" w:rsidRDefault="002354D1" w:rsidP="002354D1">
      <w:pPr>
        <w:numPr>
          <w:ilvl w:val="0"/>
          <w:numId w:val="8"/>
        </w:numPr>
        <w:tabs>
          <w:tab w:val="right" w:pos="9071"/>
        </w:tabs>
        <w:spacing w:after="120"/>
        <w:jc w:val="both"/>
        <w:rPr>
          <w:color w:val="FF0000"/>
          <w:sz w:val="24"/>
        </w:rPr>
      </w:pPr>
      <w:r w:rsidRPr="00370AFF">
        <w:rPr>
          <w:sz w:val="24"/>
        </w:rPr>
        <w:t>Sankce za nedodržování BOZP, požární ochrany a ochrany životního prostředí se řídí dle sazebníku pokut</w:t>
      </w:r>
      <w:r w:rsidR="00115F27" w:rsidRPr="00370AFF">
        <w:rPr>
          <w:sz w:val="24"/>
        </w:rPr>
        <w:t>, který je P</w:t>
      </w:r>
      <w:r w:rsidR="000518EB" w:rsidRPr="00370AFF">
        <w:rPr>
          <w:sz w:val="24"/>
        </w:rPr>
        <w:t xml:space="preserve">řílohou č. 2 </w:t>
      </w:r>
      <w:proofErr w:type="gramStart"/>
      <w:r w:rsidR="000518EB" w:rsidRPr="00370AFF">
        <w:rPr>
          <w:sz w:val="24"/>
        </w:rPr>
        <w:t>této</w:t>
      </w:r>
      <w:proofErr w:type="gramEnd"/>
      <w:r w:rsidR="000518EB" w:rsidRPr="00370AFF">
        <w:rPr>
          <w:sz w:val="24"/>
        </w:rPr>
        <w:t xml:space="preserve"> smlouvy.</w:t>
      </w:r>
    </w:p>
    <w:p w:rsidR="001A6F2A" w:rsidRPr="00370AFF" w:rsidRDefault="001A6F2A" w:rsidP="001A6F2A">
      <w:pPr>
        <w:numPr>
          <w:ilvl w:val="0"/>
          <w:numId w:val="8"/>
        </w:numPr>
        <w:tabs>
          <w:tab w:val="right" w:pos="9071"/>
        </w:tabs>
        <w:spacing w:after="120"/>
        <w:jc w:val="both"/>
        <w:rPr>
          <w:sz w:val="24"/>
        </w:rPr>
      </w:pPr>
      <w:r w:rsidRPr="00370AFF">
        <w:rPr>
          <w:sz w:val="24"/>
        </w:rPr>
        <w:t>Smluvní pokuta</w:t>
      </w:r>
      <w:r w:rsidR="002354D1" w:rsidRPr="00370AFF">
        <w:rPr>
          <w:sz w:val="24"/>
        </w:rPr>
        <w:t xml:space="preserve"> za nedostatečné vedení stavebního deníku je </w:t>
      </w:r>
      <w:r w:rsidRPr="00370AFF">
        <w:rPr>
          <w:sz w:val="24"/>
        </w:rPr>
        <w:t xml:space="preserve">stanovena </w:t>
      </w:r>
      <w:r w:rsidR="002354D1" w:rsidRPr="00370AFF">
        <w:rPr>
          <w:sz w:val="24"/>
        </w:rPr>
        <w:t>ve výši 1.000,- Kč/den.</w:t>
      </w:r>
    </w:p>
    <w:p w:rsidR="002354D1" w:rsidRPr="00370AFF" w:rsidRDefault="002354D1" w:rsidP="002354D1">
      <w:pPr>
        <w:numPr>
          <w:ilvl w:val="0"/>
          <w:numId w:val="8"/>
        </w:numPr>
        <w:tabs>
          <w:tab w:val="right" w:pos="9071"/>
        </w:tabs>
        <w:spacing w:after="120"/>
        <w:jc w:val="both"/>
        <w:rPr>
          <w:sz w:val="24"/>
        </w:rPr>
      </w:pPr>
      <w:r w:rsidRPr="00370AFF">
        <w:rPr>
          <w:sz w:val="24"/>
        </w:rPr>
        <w:t xml:space="preserve">Pokuty vzniklé vlivem stavební činnosti zhotovitele udělené </w:t>
      </w:r>
      <w:r w:rsidR="001A6F2A" w:rsidRPr="00370AFF">
        <w:rPr>
          <w:color w:val="000000" w:themeColor="text1"/>
          <w:sz w:val="24"/>
        </w:rPr>
        <w:t xml:space="preserve">objednateli </w:t>
      </w:r>
      <w:r w:rsidR="001A6F2A" w:rsidRPr="00370AFF">
        <w:rPr>
          <w:sz w:val="24"/>
        </w:rPr>
        <w:t>b</w:t>
      </w:r>
      <w:r w:rsidRPr="00370AFF">
        <w:rPr>
          <w:sz w:val="24"/>
        </w:rPr>
        <w:t>udou převedeny na zhotovitele v plné výši a mohou být započteny proti neuhrazeným fakturám.</w:t>
      </w:r>
    </w:p>
    <w:p w:rsidR="00AE2642" w:rsidRPr="00370AFF" w:rsidRDefault="00AE2642" w:rsidP="007D4A64">
      <w:pPr>
        <w:numPr>
          <w:ilvl w:val="0"/>
          <w:numId w:val="8"/>
        </w:numPr>
        <w:tabs>
          <w:tab w:val="right" w:pos="9071"/>
        </w:tabs>
        <w:spacing w:after="120"/>
        <w:jc w:val="both"/>
        <w:rPr>
          <w:sz w:val="24"/>
        </w:rPr>
      </w:pPr>
      <w:r w:rsidRPr="00370AFF">
        <w:rPr>
          <w:sz w:val="24"/>
        </w:rPr>
        <w:t>Úhradou smluvní pokuty není dotčeno právo požadovat náhradu škody v plné výši.</w:t>
      </w:r>
    </w:p>
    <w:p w:rsidR="00AE2642" w:rsidRPr="00370AFF" w:rsidRDefault="00F866AD" w:rsidP="002A14A6">
      <w:pPr>
        <w:pStyle w:val="Nadpis6"/>
        <w:keepNext w:val="0"/>
        <w:spacing w:beforeLines="150" w:before="360" w:after="240"/>
        <w:rPr>
          <w:rFonts w:ascii="Times New Roman" w:hAnsi="Times New Roman"/>
        </w:rPr>
      </w:pPr>
      <w:r w:rsidRPr="00370AFF">
        <w:rPr>
          <w:rFonts w:ascii="Times New Roman" w:hAnsi="Times New Roman"/>
        </w:rPr>
        <w:t xml:space="preserve">X. </w:t>
      </w:r>
      <w:r w:rsidR="00AE2642" w:rsidRPr="00370AFF">
        <w:rPr>
          <w:rFonts w:ascii="Times New Roman" w:hAnsi="Times New Roman"/>
        </w:rPr>
        <w:t>ODSTOUPENÍ OD SMLOUVY</w:t>
      </w:r>
    </w:p>
    <w:p w:rsidR="00AE2642" w:rsidRPr="00370AFF" w:rsidRDefault="00AE2642" w:rsidP="002E7917">
      <w:pPr>
        <w:pStyle w:val="Zkladntext3"/>
        <w:numPr>
          <w:ilvl w:val="0"/>
          <w:numId w:val="9"/>
        </w:numPr>
        <w:spacing w:beforeLines="20" w:before="48"/>
        <w:jc w:val="both"/>
      </w:pPr>
      <w:r w:rsidRPr="00370AFF">
        <w:t xml:space="preserve">Odstoupit od této smlouvy lze pro podstatné porušení </w:t>
      </w:r>
      <w:r w:rsidR="00150F3F" w:rsidRPr="00370AFF">
        <w:t xml:space="preserve">smluvních povinností, kterými jsou </w:t>
      </w:r>
      <w:r w:rsidR="00AE3EFB" w:rsidRPr="00370AFF">
        <w:t>zejména</w:t>
      </w:r>
      <w:r w:rsidRPr="00370AFF">
        <w:t>:</w:t>
      </w:r>
    </w:p>
    <w:p w:rsidR="00AE2642" w:rsidRPr="00370AFF" w:rsidRDefault="00AE2642" w:rsidP="00C73640">
      <w:pPr>
        <w:pStyle w:val="Zkladntext3"/>
        <w:numPr>
          <w:ilvl w:val="0"/>
          <w:numId w:val="3"/>
        </w:numPr>
        <w:tabs>
          <w:tab w:val="clear" w:pos="720"/>
          <w:tab w:val="num" w:pos="1418"/>
        </w:tabs>
        <w:spacing w:before="0"/>
        <w:ind w:left="1417" w:hanging="357"/>
        <w:jc w:val="both"/>
      </w:pPr>
      <w:r w:rsidRPr="00370AFF">
        <w:t>neplnění předmětu díla podle čl. I.</w:t>
      </w:r>
      <w:r w:rsidR="00A87620" w:rsidRPr="00370AFF">
        <w:t>;</w:t>
      </w:r>
    </w:p>
    <w:p w:rsidR="00AE2642" w:rsidRPr="00370AFF" w:rsidRDefault="00AE2642" w:rsidP="00C73640">
      <w:pPr>
        <w:pStyle w:val="Zkladntext3"/>
        <w:numPr>
          <w:ilvl w:val="0"/>
          <w:numId w:val="3"/>
        </w:numPr>
        <w:tabs>
          <w:tab w:val="clear" w:pos="720"/>
          <w:tab w:val="num" w:pos="1418"/>
        </w:tabs>
        <w:spacing w:before="0"/>
        <w:ind w:left="1417" w:hanging="357"/>
        <w:jc w:val="both"/>
      </w:pPr>
      <w:r w:rsidRPr="00370AFF">
        <w:t>zhotovitel neprovede dílo v patřičné kvalitě podle platných předpisů a norem</w:t>
      </w:r>
      <w:r w:rsidR="00A87620" w:rsidRPr="00370AFF">
        <w:t>;</w:t>
      </w:r>
    </w:p>
    <w:p w:rsidR="00AE2642" w:rsidRPr="00370AFF" w:rsidRDefault="00AE2642" w:rsidP="00C73640">
      <w:pPr>
        <w:pStyle w:val="Zkladntext3"/>
        <w:numPr>
          <w:ilvl w:val="0"/>
          <w:numId w:val="3"/>
        </w:numPr>
        <w:tabs>
          <w:tab w:val="clear" w:pos="720"/>
          <w:tab w:val="num" w:pos="1418"/>
        </w:tabs>
        <w:spacing w:before="0"/>
        <w:ind w:left="1417" w:hanging="357"/>
        <w:jc w:val="both"/>
      </w:pPr>
      <w:r w:rsidRPr="00370AFF">
        <w:t xml:space="preserve">zhotovitel je v prodlení s termínem dokončení díla o více než </w:t>
      </w:r>
      <w:r w:rsidR="00F36D29" w:rsidRPr="00370AFF">
        <w:t>5</w:t>
      </w:r>
      <w:r w:rsidRPr="00370AFF">
        <w:t xml:space="preserve"> kalendářních dnů</w:t>
      </w:r>
      <w:r w:rsidR="00A87620" w:rsidRPr="00370AFF">
        <w:t>;</w:t>
      </w:r>
    </w:p>
    <w:p w:rsidR="00AE2642" w:rsidRPr="00370AFF" w:rsidRDefault="00AE2642" w:rsidP="002354D1">
      <w:pPr>
        <w:pStyle w:val="Zkladntext3"/>
        <w:numPr>
          <w:ilvl w:val="0"/>
          <w:numId w:val="3"/>
        </w:numPr>
        <w:tabs>
          <w:tab w:val="clear" w:pos="720"/>
          <w:tab w:val="num" w:pos="1418"/>
        </w:tabs>
        <w:spacing w:before="0" w:after="120"/>
        <w:ind w:left="1417" w:hanging="357"/>
        <w:jc w:val="both"/>
      </w:pPr>
      <w:r w:rsidRPr="00370AFF">
        <w:t>zhotovitel bez vážných důvodů přerušil práce na díle na dobu delší</w:t>
      </w:r>
      <w:r w:rsidR="00A54045" w:rsidRPr="00370AFF">
        <w:t xml:space="preserve"> </w:t>
      </w:r>
      <w:r w:rsidRPr="00370AFF">
        <w:t>než</w:t>
      </w:r>
      <w:r w:rsidR="00A54045" w:rsidRPr="00370AFF">
        <w:t xml:space="preserve"> </w:t>
      </w:r>
      <w:r w:rsidR="00A87620" w:rsidRPr="00370AFF">
        <w:t>5 kalendářních dnů</w:t>
      </w:r>
    </w:p>
    <w:p w:rsidR="006D6F14" w:rsidRPr="00370AFF" w:rsidRDefault="00AE2642" w:rsidP="006D6F14">
      <w:pPr>
        <w:numPr>
          <w:ilvl w:val="0"/>
          <w:numId w:val="9"/>
        </w:numPr>
        <w:spacing w:beforeLines="20" w:before="48"/>
        <w:jc w:val="both"/>
        <w:rPr>
          <w:sz w:val="24"/>
        </w:rPr>
      </w:pPr>
      <w:r w:rsidRPr="00370AFF">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AE2642" w:rsidRPr="00370AFF" w:rsidRDefault="00F866AD" w:rsidP="002A14A6">
      <w:pPr>
        <w:pStyle w:val="Nadpis6"/>
        <w:keepNext w:val="0"/>
        <w:spacing w:beforeLines="150" w:before="360" w:after="240"/>
        <w:rPr>
          <w:rFonts w:ascii="Times New Roman" w:hAnsi="Times New Roman"/>
        </w:rPr>
      </w:pPr>
      <w:r w:rsidRPr="00370AFF">
        <w:rPr>
          <w:rFonts w:ascii="Times New Roman" w:hAnsi="Times New Roman"/>
        </w:rPr>
        <w:t xml:space="preserve">XI. </w:t>
      </w:r>
      <w:r w:rsidR="00AE2642" w:rsidRPr="00370AFF">
        <w:rPr>
          <w:rFonts w:ascii="Times New Roman" w:hAnsi="Times New Roman"/>
        </w:rPr>
        <w:t>ZÁVĚREČNÁ USTANOVENÍ</w:t>
      </w:r>
    </w:p>
    <w:p w:rsidR="00806F68" w:rsidRPr="00370AFF" w:rsidRDefault="00806F68" w:rsidP="00806F68">
      <w:pPr>
        <w:numPr>
          <w:ilvl w:val="0"/>
          <w:numId w:val="10"/>
        </w:numPr>
        <w:tabs>
          <w:tab w:val="left" w:pos="0"/>
          <w:tab w:val="right" w:pos="4253"/>
        </w:tabs>
        <w:spacing w:before="120" w:after="120" w:line="288" w:lineRule="auto"/>
        <w:jc w:val="both"/>
        <w:rPr>
          <w:b/>
          <w:sz w:val="24"/>
          <w:szCs w:val="24"/>
        </w:rPr>
      </w:pPr>
      <w:r w:rsidRPr="00370AFF">
        <w:rPr>
          <w:bCs/>
          <w:sz w:val="24"/>
        </w:rPr>
        <w:t xml:space="preserve">Tato smlouva a práva a povinnosti z ní vzniklé </w:t>
      </w:r>
      <w:r w:rsidR="00BE3A33" w:rsidRPr="00370AFF">
        <w:rPr>
          <w:bCs/>
          <w:sz w:val="24"/>
        </w:rPr>
        <w:t>se řídí</w:t>
      </w:r>
      <w:r w:rsidRPr="00370AFF">
        <w:rPr>
          <w:bCs/>
          <w:sz w:val="24"/>
        </w:rPr>
        <w:t xml:space="preserve"> zákonem č. 89/2012 Sb., občanský zákoník</w:t>
      </w:r>
      <w:r w:rsidR="00524874" w:rsidRPr="00370AFF">
        <w:rPr>
          <w:bCs/>
          <w:sz w:val="24"/>
        </w:rPr>
        <w:t xml:space="preserve"> v platném znění.</w:t>
      </w:r>
    </w:p>
    <w:p w:rsidR="00806F68" w:rsidRPr="00370AFF" w:rsidRDefault="00806F68" w:rsidP="00806F68">
      <w:pPr>
        <w:pStyle w:val="Zkladntext3"/>
        <w:numPr>
          <w:ilvl w:val="0"/>
          <w:numId w:val="10"/>
        </w:numPr>
        <w:spacing w:before="0" w:after="120"/>
        <w:jc w:val="both"/>
        <w:rPr>
          <w:b/>
          <w:bCs/>
        </w:rPr>
      </w:pPr>
      <w:r w:rsidRPr="00370AFF">
        <w:t>Tato smlouva nabývá účinnosti okamžikem jejího podpisu poslední smluvní stranou.</w:t>
      </w:r>
    </w:p>
    <w:p w:rsidR="00806F68" w:rsidRPr="00370AFF" w:rsidRDefault="00806F68" w:rsidP="00806F68">
      <w:pPr>
        <w:pStyle w:val="Zkladntext3"/>
        <w:numPr>
          <w:ilvl w:val="0"/>
          <w:numId w:val="10"/>
        </w:numPr>
        <w:spacing w:before="0" w:after="120"/>
        <w:jc w:val="both"/>
        <w:rPr>
          <w:b/>
          <w:bCs/>
        </w:rPr>
      </w:pPr>
      <w:r w:rsidRPr="00370AFF">
        <w:lastRenderedPageBreak/>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370AFF" w:rsidRDefault="00806F68" w:rsidP="00806F68">
      <w:pPr>
        <w:pStyle w:val="Zkladntext3"/>
        <w:numPr>
          <w:ilvl w:val="0"/>
          <w:numId w:val="10"/>
        </w:numPr>
        <w:spacing w:before="0" w:after="120"/>
        <w:jc w:val="both"/>
        <w:rPr>
          <w:b/>
          <w:bCs/>
        </w:rPr>
      </w:pPr>
      <w:r w:rsidRPr="00370AFF">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370AFF" w:rsidRDefault="00806F68" w:rsidP="00806F68">
      <w:pPr>
        <w:pStyle w:val="Zkladntext3"/>
        <w:numPr>
          <w:ilvl w:val="0"/>
          <w:numId w:val="10"/>
        </w:numPr>
        <w:spacing w:before="0" w:after="120"/>
        <w:jc w:val="both"/>
      </w:pPr>
      <w:r w:rsidRPr="00370AFF">
        <w:t xml:space="preserve">Smlouva se vyhotovuje ve čtyřech stejnopisech, z nichž l </w:t>
      </w:r>
      <w:proofErr w:type="spellStart"/>
      <w:r w:rsidRPr="00370AFF">
        <w:t>paré</w:t>
      </w:r>
      <w:proofErr w:type="spellEnd"/>
      <w:r w:rsidRPr="00370AFF">
        <w:t xml:space="preserve"> obdrží zhotovitel a 3 </w:t>
      </w:r>
      <w:proofErr w:type="spellStart"/>
      <w:r w:rsidRPr="00370AFF">
        <w:t>paré</w:t>
      </w:r>
      <w:proofErr w:type="spellEnd"/>
      <w:r w:rsidRPr="00370AFF">
        <w:t xml:space="preserve"> objednatel.</w:t>
      </w:r>
    </w:p>
    <w:p w:rsidR="00806F68" w:rsidRPr="00370AFF" w:rsidRDefault="00B46B1D" w:rsidP="00EA3BE5">
      <w:pPr>
        <w:pStyle w:val="Zkladntext3"/>
        <w:numPr>
          <w:ilvl w:val="0"/>
          <w:numId w:val="10"/>
        </w:numPr>
        <w:spacing w:before="0" w:after="120"/>
        <w:jc w:val="both"/>
      </w:pPr>
      <w:r w:rsidRPr="00370AFF">
        <w:t>Smluvní strany prohlašují, že smlouvu pře</w:t>
      </w:r>
      <w:r w:rsidR="001A6F2A" w:rsidRPr="00370AFF">
        <w:t>čet</w:t>
      </w:r>
      <w:r w:rsidR="00685587" w:rsidRPr="00370AFF">
        <w:t>ly</w:t>
      </w:r>
      <w:r w:rsidR="00806F68" w:rsidRPr="00370AFF">
        <w:t>, s jejím obsahem souhlasí, což stvrzují svými podpisy.</w:t>
      </w:r>
    </w:p>
    <w:p w:rsidR="00FA62AA" w:rsidRPr="00061322" w:rsidRDefault="00FA62AA" w:rsidP="00806F68">
      <w:pPr>
        <w:pStyle w:val="Zkladntext3"/>
        <w:spacing w:before="0" w:after="120"/>
        <w:ind w:left="851"/>
        <w:jc w:val="both"/>
        <w:rPr>
          <w:highlight w:val="yellow"/>
        </w:rPr>
      </w:pPr>
    </w:p>
    <w:p w:rsidR="001A6F2A" w:rsidRPr="00061322" w:rsidRDefault="001A6F2A" w:rsidP="00806F68">
      <w:pPr>
        <w:pStyle w:val="Zkladntext3"/>
        <w:spacing w:before="0" w:after="120"/>
        <w:ind w:left="851"/>
        <w:jc w:val="both"/>
        <w:rPr>
          <w:highlight w:val="yellow"/>
        </w:rPr>
      </w:pPr>
    </w:p>
    <w:p w:rsidR="00A75E1C" w:rsidRPr="00370AFF" w:rsidRDefault="00A75E1C" w:rsidP="00806F68">
      <w:pPr>
        <w:pStyle w:val="Zkladntext3"/>
        <w:spacing w:before="0" w:after="120"/>
        <w:ind w:left="851"/>
        <w:jc w:val="both"/>
      </w:pPr>
    </w:p>
    <w:p w:rsidR="002354D1" w:rsidRPr="00370AFF" w:rsidRDefault="002354D1" w:rsidP="002354D1">
      <w:pPr>
        <w:rPr>
          <w:b/>
          <w:sz w:val="24"/>
          <w:szCs w:val="24"/>
          <w:u w:val="single"/>
        </w:rPr>
      </w:pPr>
      <w:r w:rsidRPr="00370AFF">
        <w:rPr>
          <w:b/>
          <w:sz w:val="24"/>
          <w:szCs w:val="24"/>
          <w:u w:val="single"/>
        </w:rPr>
        <w:t>Přílohy:</w:t>
      </w:r>
    </w:p>
    <w:p w:rsidR="002354D1" w:rsidRPr="00370AFF" w:rsidRDefault="002354D1" w:rsidP="002354D1">
      <w:pPr>
        <w:rPr>
          <w:sz w:val="24"/>
          <w:szCs w:val="24"/>
        </w:rPr>
      </w:pPr>
    </w:p>
    <w:p w:rsidR="002354D1" w:rsidRPr="00370AFF" w:rsidRDefault="002354D1" w:rsidP="00F76CCA">
      <w:pPr>
        <w:rPr>
          <w:sz w:val="24"/>
          <w:szCs w:val="24"/>
        </w:rPr>
      </w:pPr>
      <w:r w:rsidRPr="00370AFF">
        <w:rPr>
          <w:sz w:val="24"/>
          <w:szCs w:val="24"/>
        </w:rPr>
        <w:t xml:space="preserve">Příloha č. </w:t>
      </w:r>
      <w:r w:rsidR="00654A49" w:rsidRPr="00370AFF">
        <w:rPr>
          <w:sz w:val="24"/>
          <w:szCs w:val="24"/>
        </w:rPr>
        <w:t>1</w:t>
      </w:r>
      <w:r w:rsidRPr="00370AFF">
        <w:rPr>
          <w:sz w:val="24"/>
          <w:szCs w:val="24"/>
        </w:rPr>
        <w:t>:</w:t>
      </w:r>
      <w:r w:rsidRPr="00370AFF">
        <w:rPr>
          <w:sz w:val="24"/>
          <w:szCs w:val="24"/>
        </w:rPr>
        <w:tab/>
        <w:t xml:space="preserve">Oceněný soupis stavebních prací a </w:t>
      </w:r>
      <w:proofErr w:type="gramStart"/>
      <w:r w:rsidRPr="00370AFF">
        <w:rPr>
          <w:sz w:val="24"/>
          <w:szCs w:val="24"/>
        </w:rPr>
        <w:t>dodávek</w:t>
      </w:r>
      <w:r w:rsidR="00CA69C6" w:rsidRPr="00370AFF">
        <w:rPr>
          <w:sz w:val="24"/>
          <w:szCs w:val="24"/>
        </w:rPr>
        <w:t xml:space="preserve"> </w:t>
      </w:r>
      <w:r w:rsidR="007C6049" w:rsidRPr="00370AFF">
        <w:rPr>
          <w:sz w:val="24"/>
          <w:szCs w:val="24"/>
        </w:rPr>
        <w:t>( x listů</w:t>
      </w:r>
      <w:proofErr w:type="gramEnd"/>
      <w:r w:rsidR="007C6049" w:rsidRPr="00370AFF">
        <w:rPr>
          <w:sz w:val="24"/>
          <w:szCs w:val="24"/>
        </w:rPr>
        <w:t>)</w:t>
      </w:r>
    </w:p>
    <w:p w:rsidR="00EA3BE5" w:rsidRPr="00CA69C6" w:rsidRDefault="000344C5" w:rsidP="00EA3BE5">
      <w:pPr>
        <w:rPr>
          <w:sz w:val="24"/>
          <w:szCs w:val="24"/>
        </w:rPr>
      </w:pPr>
      <w:r w:rsidRPr="00370AFF">
        <w:rPr>
          <w:sz w:val="24"/>
          <w:szCs w:val="24"/>
        </w:rPr>
        <w:t xml:space="preserve">Příloha č. </w:t>
      </w:r>
      <w:r w:rsidR="00654A49" w:rsidRPr="00370AFF">
        <w:rPr>
          <w:sz w:val="24"/>
          <w:szCs w:val="24"/>
        </w:rPr>
        <w:t>2</w:t>
      </w:r>
      <w:r w:rsidR="00CA69C6" w:rsidRPr="00370AFF">
        <w:rPr>
          <w:sz w:val="24"/>
          <w:szCs w:val="24"/>
        </w:rPr>
        <w:t>:    Sankce za porušení BOZP, PO, OŽP (1 list)</w:t>
      </w:r>
    </w:p>
    <w:p w:rsidR="007B268E" w:rsidRPr="00CA69C6" w:rsidRDefault="007B268E" w:rsidP="00EA3BE5">
      <w:pPr>
        <w:rPr>
          <w:sz w:val="24"/>
          <w:szCs w:val="24"/>
        </w:rPr>
      </w:pPr>
    </w:p>
    <w:p w:rsidR="00EA3BE5" w:rsidRPr="00CA69C6" w:rsidRDefault="00EA3BE5" w:rsidP="00EA3BE5">
      <w:pPr>
        <w:rPr>
          <w:sz w:val="24"/>
          <w:szCs w:val="24"/>
        </w:rPr>
      </w:pPr>
    </w:p>
    <w:p w:rsidR="00EA3BE5" w:rsidRPr="00CA69C6" w:rsidRDefault="00EA3BE5" w:rsidP="00EA3BE5">
      <w:pPr>
        <w:rPr>
          <w:sz w:val="24"/>
          <w:szCs w:val="24"/>
        </w:rPr>
      </w:pPr>
    </w:p>
    <w:p w:rsidR="00806F68" w:rsidRPr="00CA69C6" w:rsidRDefault="00806F68" w:rsidP="00EA3BE5">
      <w:pPr>
        <w:pStyle w:val="Zkladntext3"/>
        <w:spacing w:before="0" w:after="120"/>
        <w:jc w:val="both"/>
      </w:pPr>
    </w:p>
    <w:p w:rsidR="00AE2642" w:rsidRPr="00CA69C6" w:rsidRDefault="00AE2642" w:rsidP="006D6F14">
      <w:pPr>
        <w:tabs>
          <w:tab w:val="left" w:pos="5250"/>
        </w:tabs>
        <w:spacing w:beforeLines="20" w:before="48"/>
        <w:rPr>
          <w:sz w:val="24"/>
        </w:rPr>
      </w:pPr>
      <w:r w:rsidRPr="00CA69C6">
        <w:rPr>
          <w:sz w:val="24"/>
        </w:rPr>
        <w:t>V Praze dne:</w:t>
      </w:r>
      <w:r w:rsidR="00B9303C" w:rsidRPr="00CA69C6">
        <w:rPr>
          <w:sz w:val="24"/>
        </w:rPr>
        <w:tab/>
        <w:t xml:space="preserve">   V</w:t>
      </w:r>
      <w:r w:rsidR="006A2A29" w:rsidRPr="00CA69C6">
        <w:rPr>
          <w:sz w:val="24"/>
        </w:rPr>
        <w:t xml:space="preserve"> </w:t>
      </w:r>
      <w:r w:rsidR="00783D5E" w:rsidRPr="00CA69C6">
        <w:rPr>
          <w:sz w:val="24"/>
          <w:shd w:val="clear" w:color="auto" w:fill="FFFF00"/>
        </w:rPr>
        <w:t xml:space="preserve">……………. </w:t>
      </w:r>
      <w:r w:rsidR="00783D5E" w:rsidRPr="00CA69C6">
        <w:rPr>
          <w:sz w:val="24"/>
        </w:rPr>
        <w:t xml:space="preserve"> d</w:t>
      </w:r>
      <w:r w:rsidR="006A2A29" w:rsidRPr="00CA69C6">
        <w:rPr>
          <w:sz w:val="24"/>
        </w:rPr>
        <w:t>ne</w:t>
      </w:r>
      <w:r w:rsidRPr="00CA69C6">
        <w:rPr>
          <w:sz w:val="24"/>
        </w:rPr>
        <w:t>:</w:t>
      </w:r>
      <w:r w:rsidR="009A71AC" w:rsidRPr="00CA69C6">
        <w:rPr>
          <w:sz w:val="24"/>
        </w:rPr>
        <w:t xml:space="preserve"> </w:t>
      </w:r>
      <w:r w:rsidR="00783D5E" w:rsidRPr="00CA69C6">
        <w:rPr>
          <w:sz w:val="24"/>
          <w:shd w:val="clear" w:color="auto" w:fill="FFFF00"/>
        </w:rPr>
        <w:t>…………</w:t>
      </w:r>
      <w:proofErr w:type="gramStart"/>
      <w:r w:rsidR="00783D5E" w:rsidRPr="00CA69C6">
        <w:rPr>
          <w:sz w:val="24"/>
          <w:shd w:val="clear" w:color="auto" w:fill="FFFF00"/>
        </w:rPr>
        <w:t>….....</w:t>
      </w:r>
      <w:proofErr w:type="gramEnd"/>
      <w:r w:rsidR="0012112F" w:rsidRPr="00CA69C6">
        <w:rPr>
          <w:sz w:val="24"/>
        </w:rPr>
        <w:t xml:space="preserve">    </w:t>
      </w:r>
      <w:r w:rsidR="00636C4C" w:rsidRPr="00CA69C6">
        <w:rPr>
          <w:sz w:val="24"/>
        </w:rPr>
        <w:t xml:space="preserve"> </w:t>
      </w:r>
    </w:p>
    <w:p w:rsidR="00806F68" w:rsidRPr="001312B9" w:rsidRDefault="00806F68" w:rsidP="002E7917">
      <w:pPr>
        <w:spacing w:beforeLines="20" w:before="48"/>
        <w:rPr>
          <w:sz w:val="24"/>
          <w:highlight w:val="magenta"/>
        </w:rPr>
      </w:pPr>
    </w:p>
    <w:p w:rsidR="007B268E" w:rsidRPr="001312B9" w:rsidRDefault="007B268E" w:rsidP="002E7917">
      <w:pPr>
        <w:spacing w:beforeLines="20" w:before="48"/>
        <w:rPr>
          <w:sz w:val="24"/>
          <w:highlight w:val="magenta"/>
        </w:rPr>
      </w:pPr>
    </w:p>
    <w:p w:rsidR="002C119C" w:rsidRDefault="002C119C" w:rsidP="002C119C">
      <w:pPr>
        <w:tabs>
          <w:tab w:val="left" w:pos="5529"/>
        </w:tabs>
        <w:jc w:val="both"/>
        <w:rPr>
          <w:highlight w:val="green"/>
        </w:rPr>
      </w:pPr>
    </w:p>
    <w:p w:rsidR="00A46370" w:rsidRDefault="00A46370" w:rsidP="002C119C">
      <w:pPr>
        <w:tabs>
          <w:tab w:val="left" w:pos="5529"/>
        </w:tabs>
        <w:jc w:val="both"/>
        <w:rPr>
          <w:highlight w:val="green"/>
        </w:rPr>
      </w:pPr>
    </w:p>
    <w:p w:rsidR="00A46370" w:rsidRPr="00DD5998" w:rsidRDefault="00A46370" w:rsidP="002C119C">
      <w:pPr>
        <w:tabs>
          <w:tab w:val="left" w:pos="5529"/>
        </w:tabs>
        <w:jc w:val="both"/>
        <w:rPr>
          <w:highlight w:val="green"/>
        </w:rPr>
      </w:pPr>
    </w:p>
    <w:p w:rsidR="002C119C" w:rsidRPr="00AB376A" w:rsidRDefault="002C119C" w:rsidP="002C119C">
      <w:pPr>
        <w:ind w:hanging="284"/>
        <w:rPr>
          <w:sz w:val="24"/>
          <w:szCs w:val="24"/>
        </w:rPr>
      </w:pPr>
      <w:r w:rsidRPr="00AB376A">
        <w:rPr>
          <w:sz w:val="24"/>
          <w:szCs w:val="24"/>
        </w:rPr>
        <w:t>_____________________________________</w:t>
      </w:r>
      <w:r w:rsidRPr="00AB376A">
        <w:rPr>
          <w:sz w:val="24"/>
          <w:szCs w:val="24"/>
        </w:rPr>
        <w:tab/>
      </w:r>
      <w:r w:rsidRPr="00AB376A">
        <w:rPr>
          <w:sz w:val="24"/>
          <w:szCs w:val="24"/>
        </w:rPr>
        <w:tab/>
        <w:t>_____________________________</w:t>
      </w:r>
    </w:p>
    <w:p w:rsidR="002C119C" w:rsidRPr="00AB376A" w:rsidRDefault="002C119C" w:rsidP="002C119C">
      <w:pPr>
        <w:ind w:hanging="284"/>
        <w:rPr>
          <w:sz w:val="24"/>
          <w:szCs w:val="24"/>
        </w:rPr>
      </w:pPr>
      <w:r w:rsidRPr="00AB376A">
        <w:rPr>
          <w:sz w:val="24"/>
          <w:szCs w:val="24"/>
        </w:rPr>
        <w:t>Armádní Servisní, příspěvková organizace</w:t>
      </w:r>
      <w:r w:rsidRPr="00AB376A">
        <w:rPr>
          <w:sz w:val="24"/>
          <w:szCs w:val="24"/>
        </w:rPr>
        <w:tab/>
      </w:r>
      <w:r w:rsidRPr="00AB376A">
        <w:rPr>
          <w:sz w:val="24"/>
          <w:szCs w:val="24"/>
        </w:rPr>
        <w:tab/>
      </w:r>
      <w:r w:rsidRPr="00AB376A">
        <w:rPr>
          <w:sz w:val="24"/>
          <w:szCs w:val="24"/>
        </w:rPr>
        <w:tab/>
      </w:r>
      <w:r w:rsidRPr="00AB376A">
        <w:rPr>
          <w:sz w:val="24"/>
          <w:szCs w:val="24"/>
          <w:shd w:val="clear" w:color="auto" w:fill="FFFF00"/>
        </w:rPr>
        <w:t>………………………</w:t>
      </w:r>
    </w:p>
    <w:p w:rsidR="002C119C" w:rsidRPr="00AB376A" w:rsidRDefault="002C119C" w:rsidP="002C119C">
      <w:pPr>
        <w:ind w:left="708"/>
        <w:rPr>
          <w:sz w:val="24"/>
          <w:szCs w:val="24"/>
        </w:rPr>
      </w:pPr>
      <w:r w:rsidRPr="00AB376A">
        <w:rPr>
          <w:sz w:val="24"/>
          <w:szCs w:val="24"/>
        </w:rPr>
        <w:t>Ing. Martin Lehký</w:t>
      </w:r>
      <w:r w:rsidRPr="00AB376A">
        <w:rPr>
          <w:sz w:val="24"/>
          <w:szCs w:val="24"/>
        </w:rPr>
        <w:tab/>
      </w:r>
      <w:r w:rsidRPr="00AB376A">
        <w:rPr>
          <w:sz w:val="24"/>
          <w:szCs w:val="24"/>
        </w:rPr>
        <w:tab/>
      </w:r>
      <w:r w:rsidRPr="00AB376A">
        <w:rPr>
          <w:sz w:val="24"/>
          <w:szCs w:val="24"/>
        </w:rPr>
        <w:tab/>
      </w:r>
      <w:r w:rsidRPr="00AB376A">
        <w:rPr>
          <w:sz w:val="24"/>
          <w:szCs w:val="24"/>
        </w:rPr>
        <w:tab/>
      </w:r>
      <w:r w:rsidRPr="00AB376A">
        <w:rPr>
          <w:sz w:val="24"/>
          <w:szCs w:val="24"/>
        </w:rPr>
        <w:tab/>
      </w:r>
      <w:r w:rsidRPr="00AB376A">
        <w:rPr>
          <w:sz w:val="24"/>
          <w:szCs w:val="24"/>
          <w:shd w:val="clear" w:color="auto" w:fill="FFFF00"/>
        </w:rPr>
        <w:t>………</w:t>
      </w:r>
      <w:proofErr w:type="gramStart"/>
      <w:r w:rsidRPr="00AB376A">
        <w:rPr>
          <w:sz w:val="24"/>
          <w:szCs w:val="24"/>
          <w:shd w:val="clear" w:color="auto" w:fill="FFFF00"/>
        </w:rPr>
        <w:t>…..…</w:t>
      </w:r>
      <w:proofErr w:type="gramEnd"/>
      <w:r w:rsidRPr="00AB376A">
        <w:rPr>
          <w:sz w:val="24"/>
          <w:szCs w:val="24"/>
          <w:shd w:val="clear" w:color="auto" w:fill="FFFF00"/>
        </w:rPr>
        <w:t>………..</w:t>
      </w:r>
    </w:p>
    <w:p w:rsidR="002C119C" w:rsidRPr="00907E6D" w:rsidRDefault="002C119C" w:rsidP="002C119C">
      <w:r w:rsidRPr="00AB376A">
        <w:rPr>
          <w:sz w:val="24"/>
          <w:szCs w:val="24"/>
        </w:rPr>
        <w:tab/>
        <w:t xml:space="preserve"> ředitel AS-PO</w:t>
      </w:r>
      <w:r w:rsidRPr="00AB376A">
        <w:rPr>
          <w:sz w:val="24"/>
          <w:szCs w:val="24"/>
        </w:rPr>
        <w:tab/>
      </w:r>
      <w:r>
        <w:tab/>
      </w:r>
      <w:r>
        <w:tab/>
      </w:r>
      <w:r>
        <w:tab/>
      </w:r>
      <w:r>
        <w:tab/>
      </w:r>
      <w:r>
        <w:tab/>
      </w:r>
      <w:r w:rsidRPr="00907E6D">
        <w:rPr>
          <w:shd w:val="clear" w:color="auto" w:fill="FFFF00"/>
        </w:rPr>
        <w:t>………………………</w:t>
      </w:r>
    </w:p>
    <w:p w:rsidR="00EB77C5" w:rsidRDefault="00EB77C5">
      <w:pPr>
        <w:rPr>
          <w:sz w:val="24"/>
          <w:highlight w:val="magenta"/>
        </w:rPr>
      </w:pPr>
      <w:r>
        <w:rPr>
          <w:sz w:val="24"/>
          <w:highlight w:val="magenta"/>
        </w:rPr>
        <w:br w:type="page"/>
      </w:r>
    </w:p>
    <w:p w:rsidR="00EB77C5" w:rsidRPr="00EB77C5" w:rsidRDefault="00EB77C5" w:rsidP="00EB77C5">
      <w:pPr>
        <w:keepNext/>
        <w:keepLines/>
        <w:spacing w:before="120" w:afterLines="50" w:after="120" w:line="276" w:lineRule="auto"/>
        <w:jc w:val="center"/>
        <w:outlineLvl w:val="0"/>
        <w:rPr>
          <w:rFonts w:ascii="Arial Narrow" w:eastAsiaTheme="majorEastAsia" w:hAnsi="Arial Narrow" w:cstheme="majorBidi"/>
          <w:b/>
          <w:bCs/>
          <w:sz w:val="28"/>
          <w:szCs w:val="28"/>
          <w:lang w:eastAsia="en-US"/>
        </w:rPr>
      </w:pPr>
      <w:r w:rsidRPr="00EB77C5">
        <w:rPr>
          <w:rFonts w:ascii="Arial Narrow" w:eastAsiaTheme="majorEastAsia" w:hAnsi="Arial Narrow" w:cstheme="majorBidi"/>
          <w:b/>
          <w:bCs/>
          <w:sz w:val="28"/>
          <w:szCs w:val="28"/>
          <w:lang w:eastAsia="en-US"/>
        </w:rPr>
        <w:lastRenderedPageBreak/>
        <w:t>Sankce za porušení BOZP, PO a OŽP</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EB77C5" w:rsidRPr="00EB77C5" w:rsidTr="008E79AB">
        <w:trPr>
          <w:trHeight w:val="426"/>
        </w:trPr>
        <w:tc>
          <w:tcPr>
            <w:tcW w:w="2725" w:type="pct"/>
            <w:tcBorders>
              <w:top w:val="single" w:sz="4" w:space="0" w:color="auto"/>
              <w:bottom w:val="single" w:sz="4" w:space="0" w:color="auto"/>
            </w:tcBorders>
            <w:vAlign w:val="center"/>
          </w:tcPr>
          <w:p w:rsidR="00EB77C5" w:rsidRPr="00EB77C5" w:rsidRDefault="00EB77C5" w:rsidP="00EB77C5">
            <w:pPr>
              <w:spacing w:line="276" w:lineRule="auto"/>
              <w:jc w:val="center"/>
              <w:rPr>
                <w:rFonts w:ascii="Calibri" w:eastAsia="Calibri" w:hAnsi="Calibri"/>
                <w:sz w:val="16"/>
                <w:szCs w:val="16"/>
                <w:lang w:eastAsia="en-US"/>
              </w:rPr>
            </w:pPr>
            <w:r w:rsidRPr="00EB77C5">
              <w:rPr>
                <w:rFonts w:ascii="Arial" w:eastAsia="Calibri" w:hAnsi="Arial" w:cs="Arial"/>
                <w:b/>
                <w:sz w:val="16"/>
                <w:szCs w:val="16"/>
                <w:lang w:eastAsia="en-US"/>
              </w:rPr>
              <w:t>Specifikace porušení předpisů</w:t>
            </w:r>
          </w:p>
        </w:tc>
        <w:tc>
          <w:tcPr>
            <w:tcW w:w="1566" w:type="pct"/>
            <w:tcBorders>
              <w:top w:val="single"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b/>
                <w:sz w:val="16"/>
                <w:szCs w:val="16"/>
                <w:lang w:eastAsia="en-US"/>
              </w:rPr>
            </w:pPr>
            <w:r w:rsidRPr="00EB77C5">
              <w:rPr>
                <w:rFonts w:ascii="Arial" w:eastAsia="Calibri" w:hAnsi="Arial" w:cs="Arial"/>
                <w:b/>
                <w:sz w:val="16"/>
                <w:szCs w:val="16"/>
                <w:lang w:eastAsia="en-US"/>
              </w:rPr>
              <w:t>Právní předpis, plán BOZP</w:t>
            </w:r>
          </w:p>
        </w:tc>
        <w:tc>
          <w:tcPr>
            <w:tcW w:w="709" w:type="pct"/>
            <w:tcBorders>
              <w:top w:val="single"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b/>
                <w:sz w:val="16"/>
                <w:szCs w:val="16"/>
                <w:lang w:eastAsia="en-US"/>
              </w:rPr>
            </w:pPr>
            <w:r w:rsidRPr="00EB77C5">
              <w:rPr>
                <w:rFonts w:ascii="Arial" w:eastAsia="Calibri" w:hAnsi="Arial" w:cs="Arial"/>
                <w:b/>
                <w:sz w:val="16"/>
                <w:szCs w:val="16"/>
                <w:lang w:eastAsia="en-US"/>
              </w:rPr>
              <w:t>Rozsah krácení [Kč]</w:t>
            </w:r>
          </w:p>
        </w:tc>
      </w:tr>
      <w:tr w:rsidR="00EB77C5" w:rsidRPr="00EB77C5" w:rsidTr="008E79AB">
        <w:trPr>
          <w:trHeight w:val="340"/>
        </w:trPr>
        <w:tc>
          <w:tcPr>
            <w:tcW w:w="2725" w:type="pct"/>
            <w:tcBorders>
              <w:top w:val="single" w:sz="4" w:space="0" w:color="auto"/>
              <w:bottom w:val="single" w:sz="4" w:space="0" w:color="auto"/>
              <w:right w:val="dotted" w:sz="4" w:space="0" w:color="auto"/>
            </w:tcBorders>
            <w:vAlign w:val="center"/>
          </w:tcPr>
          <w:p w:rsidR="00EB77C5" w:rsidRPr="00EB77C5" w:rsidRDefault="00EB77C5" w:rsidP="00EB77C5">
            <w:pPr>
              <w:numPr>
                <w:ilvl w:val="0"/>
                <w:numId w:val="24"/>
              </w:numPr>
              <w:spacing w:after="200" w:line="276" w:lineRule="auto"/>
              <w:rPr>
                <w:rFonts w:ascii="Arial" w:hAnsi="Arial" w:cs="Arial"/>
                <w:b/>
                <w:sz w:val="16"/>
                <w:szCs w:val="16"/>
              </w:rPr>
            </w:pPr>
            <w:r w:rsidRPr="00EB77C5">
              <w:rPr>
                <w:rFonts w:ascii="Arial" w:hAnsi="Arial" w:cs="Arial"/>
                <w:b/>
                <w:sz w:val="16"/>
                <w:szCs w:val="16"/>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p>
        </w:tc>
      </w:tr>
      <w:tr w:rsidR="00EB77C5" w:rsidRPr="00EB77C5" w:rsidTr="008E79AB">
        <w:trPr>
          <w:trHeight w:val="340"/>
        </w:trPr>
        <w:tc>
          <w:tcPr>
            <w:tcW w:w="2725" w:type="pct"/>
            <w:tcBorders>
              <w:top w:val="single"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Nepoužívání stanovených pracovních prostředků, osobních ochranných pracovních prostředků a ochranných zařízení</w:t>
            </w:r>
          </w:p>
        </w:tc>
        <w:tc>
          <w:tcPr>
            <w:tcW w:w="1566" w:type="pct"/>
            <w:tcBorders>
              <w:top w:val="single"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262/2006 Sb.</w:t>
            </w:r>
          </w:p>
        </w:tc>
        <w:tc>
          <w:tcPr>
            <w:tcW w:w="709" w:type="pct"/>
            <w:tcBorders>
              <w:top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200 – 1000 / případ</w:t>
            </w:r>
          </w:p>
        </w:tc>
      </w:tr>
      <w:tr w:rsidR="00EB77C5" w:rsidRPr="00EB77C5" w:rsidTr="008E79AB">
        <w:trPr>
          <w:trHeight w:val="691"/>
        </w:trPr>
        <w:tc>
          <w:tcPr>
            <w:tcW w:w="2725" w:type="pct"/>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 xml:space="preserve">Nepodrobení se zkoušce či prokázané požití alkoholu a jiných návykových látek </w:t>
            </w:r>
          </w:p>
        </w:tc>
        <w:tc>
          <w:tcPr>
            <w:tcW w:w="1566" w:type="pct"/>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262/2006 Sb.</w:t>
            </w:r>
          </w:p>
        </w:tc>
        <w:tc>
          <w:tcPr>
            <w:tcW w:w="709" w:type="pct"/>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500 – návrh koordinátora BOZP</w:t>
            </w:r>
          </w:p>
        </w:tc>
      </w:tr>
      <w:tr w:rsidR="00EB77C5" w:rsidRPr="00EB77C5" w:rsidTr="008E79AB">
        <w:trPr>
          <w:trHeight w:val="340"/>
        </w:trPr>
        <w:tc>
          <w:tcPr>
            <w:tcW w:w="2725" w:type="pct"/>
            <w:tcBorders>
              <w:top w:val="dotted" w:sz="4" w:space="0" w:color="auto"/>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Není vedena předepsaná a aktualizovaná dokumentace</w:t>
            </w:r>
          </w:p>
        </w:tc>
        <w:tc>
          <w:tcPr>
            <w:tcW w:w="1566" w:type="pct"/>
            <w:tcBorders>
              <w:top w:val="dotted" w:sz="4" w:space="0" w:color="auto"/>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262/2006 Sb.</w:t>
            </w:r>
          </w:p>
        </w:tc>
        <w:tc>
          <w:tcPr>
            <w:tcW w:w="709" w:type="pct"/>
            <w:tcBorders>
              <w:top w:val="dotted" w:sz="4" w:space="0" w:color="auto"/>
              <w:bottom w:val="dotted"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500</w:t>
            </w:r>
          </w:p>
        </w:tc>
      </w:tr>
      <w:tr w:rsidR="00EB77C5" w:rsidRPr="00EB77C5" w:rsidTr="008E79AB">
        <w:trPr>
          <w:trHeight w:val="340"/>
        </w:trPr>
        <w:tc>
          <w:tcPr>
            <w:tcW w:w="2725" w:type="pct"/>
            <w:tcBorders>
              <w:top w:val="dotted" w:sz="4" w:space="0" w:color="auto"/>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Neomluvená neúčast na školení</w:t>
            </w:r>
          </w:p>
        </w:tc>
        <w:tc>
          <w:tcPr>
            <w:tcW w:w="1566" w:type="pct"/>
            <w:tcBorders>
              <w:top w:val="dotted" w:sz="4" w:space="0" w:color="auto"/>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262/2006 Sb.</w:t>
            </w:r>
          </w:p>
        </w:tc>
        <w:tc>
          <w:tcPr>
            <w:tcW w:w="709" w:type="pct"/>
            <w:tcBorders>
              <w:top w:val="dotted" w:sz="4" w:space="0" w:color="auto"/>
              <w:bottom w:val="dotted" w:sz="4" w:space="0" w:color="auto"/>
            </w:tcBorders>
            <w:vAlign w:val="center"/>
          </w:tcPr>
          <w:p w:rsidR="00EB77C5" w:rsidRPr="00EB77C5" w:rsidRDefault="00EB77C5" w:rsidP="00EB77C5">
            <w:pPr>
              <w:spacing w:line="276" w:lineRule="auto"/>
              <w:jc w:val="center"/>
              <w:rPr>
                <w:rFonts w:ascii="Arial" w:eastAsia="Calibri" w:hAnsi="Arial" w:cs="Arial"/>
                <w:color w:val="FF0000"/>
                <w:sz w:val="16"/>
                <w:szCs w:val="16"/>
                <w:lang w:eastAsia="en-US"/>
              </w:rPr>
            </w:pPr>
            <w:r w:rsidRPr="00EB77C5">
              <w:rPr>
                <w:rFonts w:ascii="Arial" w:eastAsia="Calibri" w:hAnsi="Arial" w:cs="Arial"/>
                <w:sz w:val="16"/>
                <w:szCs w:val="16"/>
                <w:lang w:eastAsia="en-US"/>
              </w:rPr>
              <w:t>300 – 800</w:t>
            </w:r>
          </w:p>
        </w:tc>
      </w:tr>
      <w:tr w:rsidR="00EB77C5" w:rsidRPr="00EB77C5" w:rsidTr="008E79AB">
        <w:trPr>
          <w:trHeight w:val="340"/>
        </w:trPr>
        <w:tc>
          <w:tcPr>
            <w:tcW w:w="2725" w:type="pct"/>
            <w:tcBorders>
              <w:top w:val="dotted" w:sz="4" w:space="0" w:color="auto"/>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262/2006 Sb.</w:t>
            </w:r>
          </w:p>
        </w:tc>
        <w:tc>
          <w:tcPr>
            <w:tcW w:w="709" w:type="pct"/>
            <w:tcBorders>
              <w:top w:val="dotted" w:sz="4" w:space="0" w:color="auto"/>
              <w:bottom w:val="dotted"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2000 – 10000</w:t>
            </w:r>
          </w:p>
        </w:tc>
      </w:tr>
      <w:tr w:rsidR="00EB77C5" w:rsidRPr="00EB77C5" w:rsidTr="008E79AB">
        <w:trPr>
          <w:trHeight w:val="340"/>
        </w:trPr>
        <w:tc>
          <w:tcPr>
            <w:tcW w:w="2725" w:type="pct"/>
            <w:tcBorders>
              <w:top w:val="dotted" w:sz="4" w:space="0" w:color="auto"/>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 xml:space="preserve">Nepřevzetí / nepředání rizik od </w:t>
            </w:r>
            <w:proofErr w:type="spellStart"/>
            <w:r w:rsidRPr="00EB77C5">
              <w:rPr>
                <w:rFonts w:ascii="Arial" w:hAnsi="Arial" w:cs="Arial"/>
                <w:sz w:val="16"/>
                <w:szCs w:val="16"/>
              </w:rPr>
              <w:t>podzhotovitele</w:t>
            </w:r>
            <w:proofErr w:type="spellEnd"/>
          </w:p>
        </w:tc>
        <w:tc>
          <w:tcPr>
            <w:tcW w:w="1566" w:type="pct"/>
            <w:tcBorders>
              <w:top w:val="dotted" w:sz="4" w:space="0" w:color="auto"/>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309/2006 Sb.</w:t>
            </w:r>
          </w:p>
        </w:tc>
        <w:tc>
          <w:tcPr>
            <w:tcW w:w="709" w:type="pct"/>
            <w:tcBorders>
              <w:top w:val="dotted" w:sz="4" w:space="0" w:color="auto"/>
              <w:bottom w:val="dotted" w:sz="4" w:space="0" w:color="auto"/>
            </w:tcBorders>
            <w:vAlign w:val="center"/>
          </w:tcPr>
          <w:p w:rsidR="00EB77C5" w:rsidRPr="00EB77C5" w:rsidRDefault="00EB77C5" w:rsidP="00EB77C5">
            <w:pPr>
              <w:spacing w:line="276" w:lineRule="auto"/>
              <w:jc w:val="center"/>
              <w:rPr>
                <w:rFonts w:ascii="Arial" w:eastAsia="Calibri" w:hAnsi="Arial" w:cs="Arial"/>
                <w:spacing w:val="-4"/>
                <w:sz w:val="16"/>
                <w:szCs w:val="16"/>
                <w:lang w:eastAsia="en-US"/>
              </w:rPr>
            </w:pPr>
            <w:r w:rsidRPr="00EB77C5">
              <w:rPr>
                <w:rFonts w:ascii="Arial" w:eastAsia="Calibri" w:hAnsi="Arial" w:cs="Arial"/>
                <w:spacing w:val="-4"/>
                <w:sz w:val="16"/>
                <w:szCs w:val="16"/>
                <w:lang w:eastAsia="en-US"/>
              </w:rPr>
              <w:t>500</w:t>
            </w:r>
          </w:p>
        </w:tc>
      </w:tr>
      <w:tr w:rsidR="00EB77C5" w:rsidRPr="00EB77C5" w:rsidTr="008E79AB">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500 – 5000</w:t>
            </w:r>
          </w:p>
        </w:tc>
      </w:tr>
      <w:tr w:rsidR="00EB77C5" w:rsidRPr="00EB77C5" w:rsidTr="008E79AB">
        <w:trPr>
          <w:trHeight w:val="340"/>
        </w:trPr>
        <w:tc>
          <w:tcPr>
            <w:tcW w:w="2725" w:type="pct"/>
            <w:tcBorders>
              <w:top w:val="single" w:sz="4" w:space="0" w:color="auto"/>
              <w:bottom w:val="single" w:sz="4" w:space="0" w:color="auto"/>
              <w:right w:val="dotted" w:sz="4" w:space="0" w:color="auto"/>
            </w:tcBorders>
            <w:vAlign w:val="center"/>
          </w:tcPr>
          <w:p w:rsidR="00EB77C5" w:rsidRPr="00EB77C5" w:rsidRDefault="00EB77C5" w:rsidP="00EB77C5">
            <w:pPr>
              <w:numPr>
                <w:ilvl w:val="0"/>
                <w:numId w:val="24"/>
              </w:numPr>
              <w:spacing w:after="200" w:line="276" w:lineRule="auto"/>
              <w:rPr>
                <w:rFonts w:ascii="Arial" w:hAnsi="Arial" w:cs="Arial"/>
                <w:sz w:val="16"/>
                <w:szCs w:val="16"/>
              </w:rPr>
            </w:pPr>
            <w:r w:rsidRPr="00EB77C5">
              <w:rPr>
                <w:rFonts w:ascii="Arial" w:hAnsi="Arial" w:cs="Arial"/>
                <w:b/>
                <w:sz w:val="16"/>
                <w:szCs w:val="16"/>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p>
        </w:tc>
      </w:tr>
      <w:tr w:rsidR="00EB77C5" w:rsidRPr="00EB77C5" w:rsidTr="008E79AB">
        <w:trPr>
          <w:trHeight w:val="521"/>
        </w:trPr>
        <w:tc>
          <w:tcPr>
            <w:tcW w:w="2725" w:type="pct"/>
            <w:tcBorders>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Nesplnění ohlašovací povinnosti vůči koordinátorovi BOZP, investorovi či generálnímu zhotoviteli</w:t>
            </w:r>
          </w:p>
        </w:tc>
        <w:tc>
          <w:tcPr>
            <w:tcW w:w="1566" w:type="pct"/>
            <w:tcBorders>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 xml:space="preserve">Čl. </w:t>
            </w:r>
            <w:smartTag w:uri="urn:schemas-microsoft-com:office:smarttags" w:element="metricconverter">
              <w:smartTagPr>
                <w:attr w:name="ProductID" w:val="4.14 a"/>
              </w:smartTagPr>
              <w:r w:rsidRPr="00EB77C5">
                <w:rPr>
                  <w:rFonts w:ascii="Arial" w:eastAsia="Calibri" w:hAnsi="Arial" w:cs="Arial"/>
                  <w:sz w:val="16"/>
                  <w:szCs w:val="16"/>
                  <w:lang w:eastAsia="en-US"/>
                </w:rPr>
                <w:t>4.14 a</w:t>
              </w:r>
            </w:smartTag>
            <w:r w:rsidRPr="00EB77C5">
              <w:rPr>
                <w:rFonts w:ascii="Arial" w:eastAsia="Calibri" w:hAnsi="Arial" w:cs="Arial"/>
                <w:sz w:val="16"/>
                <w:szCs w:val="16"/>
                <w:lang w:eastAsia="en-US"/>
              </w:rPr>
              <w:t xml:space="preserve"> 4.15</w:t>
            </w:r>
          </w:p>
        </w:tc>
        <w:tc>
          <w:tcPr>
            <w:tcW w:w="709" w:type="pct"/>
            <w:tcBorders>
              <w:bottom w:val="dotted"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3000 – 5000</w:t>
            </w:r>
          </w:p>
        </w:tc>
      </w:tr>
      <w:tr w:rsidR="00EB77C5" w:rsidRPr="00EB77C5" w:rsidTr="008E79AB">
        <w:trPr>
          <w:trHeight w:val="479"/>
        </w:trPr>
        <w:tc>
          <w:tcPr>
            <w:tcW w:w="2725" w:type="pct"/>
            <w:tcBorders>
              <w:top w:val="dotted" w:sz="4" w:space="0" w:color="auto"/>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 xml:space="preserve">Neodstranění závad z kontrol BOZ (opakovaných), auditů, prověrek </w:t>
            </w:r>
            <w:proofErr w:type="gramStart"/>
            <w:r w:rsidRPr="00EB77C5">
              <w:rPr>
                <w:rFonts w:ascii="Arial" w:hAnsi="Arial" w:cs="Arial"/>
                <w:sz w:val="16"/>
                <w:szCs w:val="16"/>
              </w:rPr>
              <w:t>BOZ  a kontrol</w:t>
            </w:r>
            <w:proofErr w:type="gramEnd"/>
            <w:r w:rsidRPr="00EB77C5">
              <w:rPr>
                <w:rFonts w:ascii="Arial" w:hAnsi="Arial" w:cs="Arial"/>
                <w:sz w:val="16"/>
                <w:szCs w:val="16"/>
              </w:rPr>
              <w:t xml:space="preserve"> SOD</w:t>
            </w:r>
          </w:p>
        </w:tc>
        <w:tc>
          <w:tcPr>
            <w:tcW w:w="1566" w:type="pct"/>
            <w:tcBorders>
              <w:top w:val="dotted" w:sz="4" w:space="0" w:color="auto"/>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2000 / závada</w:t>
            </w:r>
          </w:p>
        </w:tc>
      </w:tr>
      <w:tr w:rsidR="00EB77C5" w:rsidRPr="00EB77C5" w:rsidTr="008E79AB">
        <w:trPr>
          <w:trHeight w:val="340"/>
        </w:trPr>
        <w:tc>
          <w:tcPr>
            <w:tcW w:w="2725" w:type="pct"/>
            <w:tcBorders>
              <w:top w:val="dotted" w:sz="4" w:space="0" w:color="auto"/>
              <w:bottom w:val="single"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 xml:space="preserve">Provozní dokumentace, čl. </w:t>
            </w:r>
            <w:smartTag w:uri="urn:schemas-microsoft-com:office:smarttags" w:element="metricconverter">
              <w:smartTagPr>
                <w:attr w:name="ProductID" w:val="4.9 a"/>
              </w:smartTagPr>
              <w:r w:rsidRPr="00EB77C5">
                <w:rPr>
                  <w:rFonts w:ascii="Arial" w:eastAsia="Calibri" w:hAnsi="Arial" w:cs="Arial"/>
                  <w:sz w:val="16"/>
                  <w:szCs w:val="16"/>
                  <w:lang w:eastAsia="en-US"/>
                </w:rPr>
                <w:t>4.9 a</w:t>
              </w:r>
            </w:smartTag>
            <w:r w:rsidRPr="00EB77C5">
              <w:rPr>
                <w:rFonts w:ascii="Arial" w:eastAsia="Calibri" w:hAnsi="Arial" w:cs="Arial"/>
                <w:sz w:val="16"/>
                <w:szCs w:val="16"/>
                <w:lang w:eastAsia="en-US"/>
              </w:rPr>
              <w:t xml:space="preserve"> 4.10</w:t>
            </w:r>
          </w:p>
        </w:tc>
        <w:tc>
          <w:tcPr>
            <w:tcW w:w="709" w:type="pct"/>
            <w:tcBorders>
              <w:top w:val="dotted"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500 – 1000</w:t>
            </w:r>
          </w:p>
        </w:tc>
      </w:tr>
      <w:tr w:rsidR="00EB77C5" w:rsidRPr="00EB77C5" w:rsidTr="008E79AB">
        <w:trPr>
          <w:trHeight w:val="340"/>
        </w:trPr>
        <w:tc>
          <w:tcPr>
            <w:tcW w:w="2725" w:type="pct"/>
            <w:tcBorders>
              <w:top w:val="single" w:sz="4" w:space="0" w:color="auto"/>
              <w:bottom w:val="single" w:sz="4" w:space="0" w:color="auto"/>
              <w:right w:val="dotted" w:sz="4" w:space="0" w:color="auto"/>
            </w:tcBorders>
            <w:vAlign w:val="center"/>
          </w:tcPr>
          <w:p w:rsidR="00EB77C5" w:rsidRPr="00EB77C5" w:rsidRDefault="00EB77C5" w:rsidP="00EB77C5">
            <w:pPr>
              <w:numPr>
                <w:ilvl w:val="0"/>
                <w:numId w:val="24"/>
              </w:numPr>
              <w:spacing w:after="200" w:line="276" w:lineRule="auto"/>
              <w:rPr>
                <w:rFonts w:ascii="Arial" w:hAnsi="Arial" w:cs="Arial"/>
                <w:sz w:val="16"/>
                <w:szCs w:val="16"/>
              </w:rPr>
            </w:pPr>
            <w:r w:rsidRPr="00EB77C5">
              <w:rPr>
                <w:rFonts w:ascii="Arial" w:hAnsi="Arial" w:cs="Arial"/>
                <w:b/>
                <w:sz w:val="16"/>
                <w:szCs w:val="16"/>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p>
        </w:tc>
        <w:tc>
          <w:tcPr>
            <w:tcW w:w="709" w:type="pct"/>
            <w:tcBorders>
              <w:top w:val="single" w:sz="4" w:space="0" w:color="auto"/>
              <w:left w:val="dotted"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p>
        </w:tc>
      </w:tr>
      <w:tr w:rsidR="00EB77C5" w:rsidRPr="00EB77C5" w:rsidTr="008E79AB">
        <w:trPr>
          <w:trHeight w:val="701"/>
        </w:trPr>
        <w:tc>
          <w:tcPr>
            <w:tcW w:w="2725" w:type="pct"/>
            <w:tcBorders>
              <w:top w:val="single"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Porušení povinností vyplývajících z předpisů o požární ochraně</w:t>
            </w:r>
            <w:r w:rsidRPr="00EB77C5" w:rsidDel="002B4A1C">
              <w:rPr>
                <w:rFonts w:ascii="Arial" w:hAnsi="Arial" w:cs="Arial"/>
                <w:sz w:val="16"/>
                <w:szCs w:val="16"/>
              </w:rPr>
              <w:t xml:space="preserve"> </w:t>
            </w:r>
          </w:p>
        </w:tc>
        <w:tc>
          <w:tcPr>
            <w:tcW w:w="1566" w:type="pct"/>
            <w:tcBorders>
              <w:top w:val="single"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 xml:space="preserve">Zák. 133/1985 Sb., </w:t>
            </w:r>
          </w:p>
          <w:p w:rsidR="00EB77C5" w:rsidRPr="00EB77C5" w:rsidRDefault="00EB77C5" w:rsidP="00EB77C5">
            <w:pPr>
              <w:spacing w:line="276" w:lineRule="auto"/>
              <w:rPr>
                <w:rFonts w:ascii="Arial" w:eastAsia="Calibri" w:hAnsi="Arial" w:cs="Arial"/>
                <w:sz w:val="16"/>
                <w:szCs w:val="16"/>
                <w:lang w:eastAsia="en-US"/>
              </w:rPr>
            </w:pPr>
            <w:proofErr w:type="spellStart"/>
            <w:r w:rsidRPr="00EB77C5">
              <w:rPr>
                <w:rFonts w:ascii="Arial" w:eastAsia="Calibri" w:hAnsi="Arial" w:cs="Arial"/>
                <w:sz w:val="16"/>
                <w:szCs w:val="16"/>
                <w:lang w:eastAsia="en-US"/>
              </w:rPr>
              <w:t>Vyhl</w:t>
            </w:r>
            <w:proofErr w:type="spellEnd"/>
            <w:r w:rsidRPr="00EB77C5">
              <w:rPr>
                <w:rFonts w:ascii="Arial" w:eastAsia="Calibri" w:hAnsi="Arial" w:cs="Arial"/>
                <w:sz w:val="16"/>
                <w:szCs w:val="16"/>
                <w:lang w:eastAsia="en-US"/>
              </w:rPr>
              <w:t>. 246/2001 Sb.</w:t>
            </w:r>
          </w:p>
        </w:tc>
        <w:tc>
          <w:tcPr>
            <w:tcW w:w="709" w:type="pct"/>
            <w:tcBorders>
              <w:top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500 – 1000</w:t>
            </w:r>
          </w:p>
        </w:tc>
      </w:tr>
      <w:tr w:rsidR="00EB77C5" w:rsidRPr="00EB77C5" w:rsidTr="008E79AB">
        <w:trPr>
          <w:trHeight w:val="340"/>
        </w:trPr>
        <w:tc>
          <w:tcPr>
            <w:tcW w:w="2725" w:type="pct"/>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Kouření nebo používání otevřeného ohně na místech, kde je to zakázáno</w:t>
            </w:r>
            <w:r w:rsidRPr="00EB77C5" w:rsidDel="002B4A1C">
              <w:rPr>
                <w:rFonts w:ascii="Arial" w:hAnsi="Arial" w:cs="Arial"/>
                <w:sz w:val="16"/>
                <w:szCs w:val="16"/>
              </w:rPr>
              <w:t xml:space="preserve"> </w:t>
            </w:r>
          </w:p>
        </w:tc>
        <w:tc>
          <w:tcPr>
            <w:tcW w:w="1566" w:type="pct"/>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 xml:space="preserve">Zák. 262/2006 Sb., </w:t>
            </w:r>
          </w:p>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133/1985 Sb.</w:t>
            </w:r>
          </w:p>
        </w:tc>
        <w:tc>
          <w:tcPr>
            <w:tcW w:w="709" w:type="pct"/>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300</w:t>
            </w:r>
          </w:p>
        </w:tc>
      </w:tr>
      <w:tr w:rsidR="00EB77C5" w:rsidRPr="00EB77C5" w:rsidTr="008E79AB">
        <w:trPr>
          <w:trHeight w:val="340"/>
        </w:trPr>
        <w:tc>
          <w:tcPr>
            <w:tcW w:w="2725" w:type="pct"/>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Neoznámení vzniklého požáru koordinátorovi BOZP, investorovi či generálnímu zhotoviteli</w:t>
            </w:r>
          </w:p>
        </w:tc>
        <w:tc>
          <w:tcPr>
            <w:tcW w:w="1566" w:type="pct"/>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 xml:space="preserve">Čl. </w:t>
            </w:r>
            <w:smartTag w:uri="urn:schemas-microsoft-com:office:smarttags" w:element="metricconverter">
              <w:smartTagPr>
                <w:attr w:name="ProductID" w:val="4.15 a"/>
              </w:smartTagPr>
              <w:r w:rsidRPr="00EB77C5">
                <w:rPr>
                  <w:rFonts w:ascii="Arial" w:eastAsia="Calibri" w:hAnsi="Arial" w:cs="Arial"/>
                  <w:sz w:val="16"/>
                  <w:szCs w:val="16"/>
                  <w:lang w:eastAsia="en-US"/>
                </w:rPr>
                <w:t>4.15 a</w:t>
              </w:r>
            </w:smartTag>
            <w:r w:rsidRPr="00EB77C5">
              <w:rPr>
                <w:rFonts w:ascii="Arial" w:eastAsia="Calibri" w:hAnsi="Arial" w:cs="Arial"/>
                <w:sz w:val="16"/>
                <w:szCs w:val="16"/>
                <w:lang w:eastAsia="en-US"/>
              </w:rPr>
              <w:t xml:space="preserve"> 4.20 </w:t>
            </w:r>
          </w:p>
        </w:tc>
        <w:tc>
          <w:tcPr>
            <w:tcW w:w="709" w:type="pct"/>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10000</w:t>
            </w:r>
          </w:p>
        </w:tc>
      </w:tr>
      <w:tr w:rsidR="00EB77C5" w:rsidRPr="00EB77C5" w:rsidTr="008E79AB">
        <w:trPr>
          <w:trHeight w:val="340"/>
        </w:trPr>
        <w:tc>
          <w:tcPr>
            <w:tcW w:w="2725" w:type="pct"/>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pacing w:val="-4"/>
                <w:sz w:val="16"/>
                <w:szCs w:val="16"/>
              </w:rPr>
              <w:t>Porušení předpisů při provádění svářečských prací</w:t>
            </w:r>
            <w:r w:rsidRPr="00EB77C5" w:rsidDel="002B4A1C">
              <w:rPr>
                <w:rFonts w:ascii="Arial" w:hAnsi="Arial" w:cs="Arial"/>
                <w:sz w:val="16"/>
                <w:szCs w:val="16"/>
              </w:rPr>
              <w:t xml:space="preserve"> </w:t>
            </w:r>
          </w:p>
        </w:tc>
        <w:tc>
          <w:tcPr>
            <w:tcW w:w="1566" w:type="pct"/>
            <w:vAlign w:val="center"/>
          </w:tcPr>
          <w:p w:rsidR="00EB77C5" w:rsidRPr="00EB77C5" w:rsidRDefault="00EB77C5" w:rsidP="00EB77C5">
            <w:pPr>
              <w:spacing w:line="276" w:lineRule="auto"/>
              <w:rPr>
                <w:rFonts w:ascii="Arial" w:eastAsia="Calibri" w:hAnsi="Arial" w:cs="Arial"/>
                <w:sz w:val="16"/>
                <w:szCs w:val="16"/>
                <w:lang w:eastAsia="en-US"/>
              </w:rPr>
            </w:pPr>
            <w:proofErr w:type="spellStart"/>
            <w:r w:rsidRPr="00EB77C5">
              <w:rPr>
                <w:rFonts w:ascii="Arial" w:eastAsia="Calibri" w:hAnsi="Arial" w:cs="Arial"/>
                <w:sz w:val="16"/>
                <w:szCs w:val="16"/>
                <w:lang w:eastAsia="en-US"/>
              </w:rPr>
              <w:t>Vyhl</w:t>
            </w:r>
            <w:proofErr w:type="spellEnd"/>
            <w:r w:rsidRPr="00EB77C5">
              <w:rPr>
                <w:rFonts w:ascii="Arial" w:eastAsia="Calibri" w:hAnsi="Arial" w:cs="Arial"/>
                <w:sz w:val="16"/>
                <w:szCs w:val="16"/>
                <w:lang w:eastAsia="en-US"/>
              </w:rPr>
              <w:t>. 87/2000 Sb., čl. 4.8</w:t>
            </w:r>
          </w:p>
        </w:tc>
        <w:tc>
          <w:tcPr>
            <w:tcW w:w="709" w:type="pct"/>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3000 – 10000</w:t>
            </w:r>
          </w:p>
        </w:tc>
      </w:tr>
      <w:tr w:rsidR="00EB77C5" w:rsidRPr="00EB77C5" w:rsidTr="008E79AB">
        <w:trPr>
          <w:trHeight w:val="340"/>
        </w:trPr>
        <w:tc>
          <w:tcPr>
            <w:tcW w:w="2725" w:type="pct"/>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pacing w:val="-4"/>
                <w:sz w:val="16"/>
                <w:szCs w:val="16"/>
              </w:rPr>
              <w:t>Neudržování volných únikových cest, volného přístupu k rozvodným zařízením a hlavním uzávěrům a k prostředkům PO</w:t>
            </w:r>
            <w:r w:rsidRPr="00EB77C5" w:rsidDel="002B4A1C">
              <w:rPr>
                <w:rFonts w:ascii="Arial" w:hAnsi="Arial" w:cs="Arial"/>
                <w:sz w:val="16"/>
                <w:szCs w:val="16"/>
              </w:rPr>
              <w:t xml:space="preserve"> </w:t>
            </w:r>
          </w:p>
        </w:tc>
        <w:tc>
          <w:tcPr>
            <w:tcW w:w="1566" w:type="pct"/>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 xml:space="preserve">Zák. 133/1985 Sb. </w:t>
            </w:r>
          </w:p>
        </w:tc>
        <w:tc>
          <w:tcPr>
            <w:tcW w:w="709" w:type="pct"/>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200 – 500</w:t>
            </w:r>
          </w:p>
        </w:tc>
      </w:tr>
      <w:tr w:rsidR="00EB77C5" w:rsidRPr="00EB77C5" w:rsidTr="008E79AB">
        <w:trPr>
          <w:trHeight w:val="340"/>
        </w:trPr>
        <w:tc>
          <w:tcPr>
            <w:tcW w:w="2725" w:type="pct"/>
            <w:tcBorders>
              <w:top w:val="single" w:sz="4" w:space="0" w:color="auto"/>
              <w:bottom w:val="single" w:sz="4" w:space="0" w:color="auto"/>
            </w:tcBorders>
            <w:vAlign w:val="center"/>
          </w:tcPr>
          <w:p w:rsidR="00EB77C5" w:rsidRPr="00EB77C5" w:rsidRDefault="00EB77C5" w:rsidP="00EB77C5">
            <w:pPr>
              <w:numPr>
                <w:ilvl w:val="0"/>
                <w:numId w:val="24"/>
              </w:numPr>
              <w:spacing w:after="200" w:line="276" w:lineRule="auto"/>
              <w:rPr>
                <w:rFonts w:ascii="Arial" w:hAnsi="Arial" w:cs="Arial"/>
                <w:sz w:val="16"/>
                <w:szCs w:val="16"/>
              </w:rPr>
            </w:pPr>
            <w:r w:rsidRPr="00EB77C5">
              <w:rPr>
                <w:rFonts w:ascii="Arial" w:hAnsi="Arial" w:cs="Arial"/>
                <w:b/>
                <w:sz w:val="16"/>
                <w:szCs w:val="16"/>
              </w:rPr>
              <w:t>OŽP</w:t>
            </w:r>
          </w:p>
        </w:tc>
        <w:tc>
          <w:tcPr>
            <w:tcW w:w="1566" w:type="pct"/>
            <w:tcBorders>
              <w:top w:val="single" w:sz="4" w:space="0" w:color="auto"/>
              <w:bottom w:val="single"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p>
        </w:tc>
        <w:tc>
          <w:tcPr>
            <w:tcW w:w="709" w:type="pct"/>
            <w:tcBorders>
              <w:top w:val="single" w:sz="4" w:space="0" w:color="auto"/>
              <w:bottom w:val="single"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p>
        </w:tc>
      </w:tr>
      <w:tr w:rsidR="00EB77C5" w:rsidRPr="00EB77C5" w:rsidTr="008E79AB">
        <w:trPr>
          <w:trHeight w:val="340"/>
        </w:trPr>
        <w:tc>
          <w:tcPr>
            <w:tcW w:w="2725" w:type="pct"/>
            <w:tcBorders>
              <w:top w:val="single" w:sz="4" w:space="0" w:color="auto"/>
              <w:bottom w:val="dotted"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EB77C5" w:rsidRPr="00EB77C5" w:rsidRDefault="00EB77C5" w:rsidP="00EB77C5">
            <w:pPr>
              <w:spacing w:line="276" w:lineRule="auto"/>
              <w:rPr>
                <w:rFonts w:ascii="Arial" w:eastAsia="Calibri" w:hAnsi="Arial" w:cs="Arial"/>
                <w:sz w:val="16"/>
                <w:szCs w:val="16"/>
                <w:lang w:eastAsia="en-US"/>
              </w:rPr>
            </w:pPr>
            <w:r w:rsidRPr="00EB77C5">
              <w:rPr>
                <w:rFonts w:ascii="Arial" w:eastAsia="Calibri" w:hAnsi="Arial" w:cs="Arial"/>
                <w:sz w:val="16"/>
                <w:szCs w:val="16"/>
                <w:lang w:eastAsia="en-US"/>
              </w:rPr>
              <w:t>Zák. 185/2001 Sb.</w:t>
            </w:r>
          </w:p>
        </w:tc>
        <w:tc>
          <w:tcPr>
            <w:tcW w:w="709" w:type="pct"/>
            <w:tcBorders>
              <w:top w:val="single" w:sz="4" w:space="0" w:color="auto"/>
              <w:bottom w:val="dotted" w:sz="4" w:space="0" w:color="auto"/>
            </w:tcBorders>
            <w:vAlign w:val="center"/>
          </w:tcPr>
          <w:p w:rsidR="00EB77C5" w:rsidRPr="00EB77C5" w:rsidRDefault="00EB77C5" w:rsidP="00EB77C5">
            <w:pPr>
              <w:spacing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500 – 5000</w:t>
            </w:r>
          </w:p>
        </w:tc>
      </w:tr>
      <w:tr w:rsidR="00EB77C5" w:rsidRPr="00EB77C5" w:rsidTr="008E79AB">
        <w:trPr>
          <w:trHeight w:val="340"/>
        </w:trPr>
        <w:tc>
          <w:tcPr>
            <w:tcW w:w="2725" w:type="pct"/>
            <w:tcBorders>
              <w:top w:val="dotted" w:sz="4" w:space="0" w:color="auto"/>
              <w:bottom w:val="single" w:sz="4" w:space="0" w:color="auto"/>
            </w:tcBorders>
            <w:vAlign w:val="center"/>
          </w:tcPr>
          <w:p w:rsidR="00EB77C5" w:rsidRPr="00EB77C5" w:rsidRDefault="00EB77C5" w:rsidP="00EB77C5">
            <w:pPr>
              <w:numPr>
                <w:ilvl w:val="1"/>
                <w:numId w:val="24"/>
              </w:numPr>
              <w:spacing w:after="200" w:line="276" w:lineRule="auto"/>
              <w:rPr>
                <w:rFonts w:ascii="Arial" w:hAnsi="Arial" w:cs="Arial"/>
                <w:sz w:val="16"/>
                <w:szCs w:val="16"/>
              </w:rPr>
            </w:pPr>
            <w:r w:rsidRPr="00EB77C5">
              <w:rPr>
                <w:rFonts w:ascii="Arial" w:hAnsi="Arial" w:cs="Arial"/>
                <w:sz w:val="16"/>
                <w:szCs w:val="16"/>
              </w:rPr>
              <w:t xml:space="preserve">Neodstranění závad z kontrol </w:t>
            </w:r>
          </w:p>
        </w:tc>
        <w:tc>
          <w:tcPr>
            <w:tcW w:w="1566" w:type="pct"/>
            <w:tcBorders>
              <w:top w:val="dotted" w:sz="4" w:space="0" w:color="auto"/>
              <w:bottom w:val="single" w:sz="4" w:space="0" w:color="auto"/>
            </w:tcBorders>
            <w:vAlign w:val="center"/>
          </w:tcPr>
          <w:p w:rsidR="00EB77C5" w:rsidRPr="00EB77C5" w:rsidRDefault="00EB77C5" w:rsidP="00EB77C5">
            <w:pPr>
              <w:spacing w:after="200" w:line="276" w:lineRule="auto"/>
              <w:rPr>
                <w:rFonts w:ascii="Arial" w:eastAsia="Calibri" w:hAnsi="Arial" w:cs="Arial"/>
                <w:sz w:val="16"/>
                <w:szCs w:val="16"/>
                <w:lang w:eastAsia="en-US"/>
              </w:rPr>
            </w:pPr>
            <w:r w:rsidRPr="00EB77C5">
              <w:rPr>
                <w:rFonts w:ascii="Arial" w:eastAsia="Calibri" w:hAnsi="Arial" w:cs="Arial"/>
                <w:sz w:val="16"/>
                <w:szCs w:val="16"/>
                <w:lang w:eastAsia="en-US"/>
              </w:rPr>
              <w:t>Čl. 4.21</w:t>
            </w:r>
          </w:p>
        </w:tc>
        <w:tc>
          <w:tcPr>
            <w:tcW w:w="709" w:type="pct"/>
            <w:tcBorders>
              <w:top w:val="dotted" w:sz="4" w:space="0" w:color="auto"/>
              <w:bottom w:val="single" w:sz="4" w:space="0" w:color="auto"/>
            </w:tcBorders>
            <w:vAlign w:val="center"/>
          </w:tcPr>
          <w:p w:rsidR="00EB77C5" w:rsidRPr="00EB77C5" w:rsidRDefault="00EB77C5" w:rsidP="00EB77C5">
            <w:pPr>
              <w:spacing w:after="200" w:line="276" w:lineRule="auto"/>
              <w:jc w:val="center"/>
              <w:rPr>
                <w:rFonts w:ascii="Arial" w:eastAsia="Calibri" w:hAnsi="Arial" w:cs="Arial"/>
                <w:sz w:val="16"/>
                <w:szCs w:val="16"/>
                <w:lang w:eastAsia="en-US"/>
              </w:rPr>
            </w:pPr>
            <w:r w:rsidRPr="00EB77C5">
              <w:rPr>
                <w:rFonts w:ascii="Arial" w:eastAsia="Calibri" w:hAnsi="Arial" w:cs="Arial"/>
                <w:sz w:val="16"/>
                <w:szCs w:val="16"/>
                <w:lang w:eastAsia="en-US"/>
              </w:rPr>
              <w:t>300 / závada</w:t>
            </w:r>
          </w:p>
        </w:tc>
      </w:tr>
    </w:tbl>
    <w:p w:rsidR="007B268E" w:rsidRPr="001312B9" w:rsidRDefault="007B268E" w:rsidP="00D01489">
      <w:pPr>
        <w:spacing w:beforeLines="20" w:before="48"/>
        <w:rPr>
          <w:sz w:val="24"/>
          <w:highlight w:val="magenta"/>
        </w:rPr>
      </w:pPr>
    </w:p>
    <w:sectPr w:rsidR="007B268E" w:rsidRPr="001312B9" w:rsidSect="00F76CCA">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03" w:rsidRDefault="00465103">
      <w:r>
        <w:separator/>
      </w:r>
    </w:p>
  </w:endnote>
  <w:endnote w:type="continuationSeparator" w:id="0">
    <w:p w:rsidR="00465103" w:rsidRDefault="0046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684731"/>
      <w:docPartObj>
        <w:docPartGallery w:val="Page Numbers (Bottom of Page)"/>
        <w:docPartUnique/>
      </w:docPartObj>
    </w:sdtPr>
    <w:sdtEndPr/>
    <w:sdtContent>
      <w:p w:rsidR="009C54B9" w:rsidRDefault="009C54B9">
        <w:pPr>
          <w:pStyle w:val="Zpat"/>
          <w:jc w:val="center"/>
        </w:pPr>
        <w:r>
          <w:fldChar w:fldCharType="begin"/>
        </w:r>
        <w:r>
          <w:instrText>PAGE   \* MERGEFORMAT</w:instrText>
        </w:r>
        <w:r>
          <w:fldChar w:fldCharType="separate"/>
        </w:r>
        <w:r w:rsidR="00520AB0">
          <w:rPr>
            <w:noProof/>
          </w:rPr>
          <w:t>1</w:t>
        </w:r>
        <w:r>
          <w:fldChar w:fldCharType="end"/>
        </w:r>
      </w:p>
    </w:sdtContent>
  </w:sdt>
  <w:p w:rsidR="009C54B9" w:rsidRDefault="009C54B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B0" w:rsidRDefault="00520A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03" w:rsidRDefault="00465103">
      <w:r>
        <w:separator/>
      </w:r>
    </w:p>
  </w:footnote>
  <w:footnote w:type="continuationSeparator" w:id="0">
    <w:p w:rsidR="00465103" w:rsidRDefault="0046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520AB0" w:rsidP="00492D37">
    <w:pPr>
      <w:pStyle w:val="Zhlav"/>
      <w:tabs>
        <w:tab w:val="clear" w:pos="9072"/>
        <w:tab w:val="right" w:pos="9071"/>
      </w:tabs>
      <w:rPr>
        <w:sz w:val="24"/>
        <w:szCs w:val="24"/>
      </w:rPr>
    </w:pPr>
    <w:r>
      <w:rPr>
        <w:sz w:val="24"/>
        <w:szCs w:val="24"/>
      </w:rPr>
      <w:tab/>
    </w:r>
    <w:r>
      <w:rPr>
        <w:sz w:val="24"/>
        <w:szCs w:val="24"/>
      </w:rPr>
      <w:tab/>
    </w:r>
    <w:bookmarkStart w:id="0" w:name="_GoBack"/>
    <w:bookmarkEnd w:id="0"/>
    <w:r w:rsidR="00492D37">
      <w:rPr>
        <w:sz w:val="24"/>
        <w:szCs w:val="24"/>
      </w:rPr>
      <w:t>P</w:t>
    </w:r>
    <w:r>
      <w:rPr>
        <w:sz w:val="24"/>
        <w:szCs w:val="24"/>
      </w:rPr>
      <w:t>říloha č. 3 ZD</w:t>
    </w:r>
    <w:r w:rsidR="00492D37">
      <w:rPr>
        <w:sz w:val="24"/>
        <w:szCs w:val="24"/>
      </w:rPr>
      <w:tab/>
    </w:r>
    <w:r w:rsidR="00492D37">
      <w:rPr>
        <w:sz w:val="24"/>
        <w:szCs w:val="24"/>
      </w:rPr>
      <w:tab/>
    </w:r>
    <w:r w:rsidR="0088630E" w:rsidRPr="0088630E">
      <w:rPr>
        <w:noProof/>
        <w:sz w:val="24"/>
        <w:szCs w:val="24"/>
      </w:rPr>
      <mc:AlternateContent>
        <mc:Choice Requires="wps">
          <w:drawing>
            <wp:anchor distT="0" distB="0" distL="114300" distR="114300" simplePos="0" relativeHeight="251659264" behindDoc="0" locked="0" layoutInCell="1" allowOverlap="1" wp14:anchorId="0A0E0D89" wp14:editId="5829EBC7">
              <wp:simplePos x="0" y="0"/>
              <wp:positionH relativeFrom="column">
                <wp:posOffset>-805815</wp:posOffset>
              </wp:positionH>
              <wp:positionV relativeFrom="paragraph">
                <wp:posOffset>-404812</wp:posOffset>
              </wp:positionV>
              <wp:extent cx="2374265" cy="1403985"/>
              <wp:effectExtent l="0" t="0" r="0" b="127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8630E" w:rsidRDefault="0088630E"/>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63.45pt;margin-top:-31.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" filled="f" stroked="f">
              <v:textbox style="mso-fit-shape-to-text:t">
                <w:txbxContent>
                  <w:p w:rsidR="0088630E" w:rsidRDefault="0088630E"/>
                </w:txbxContent>
              </v:textbox>
            </v:shape>
          </w:pict>
        </mc:Fallback>
      </mc:AlternateContent>
    </w:r>
  </w:p>
  <w:p w:rsidR="00F76CCA" w:rsidRDefault="00F76CCA" w:rsidP="00F76CCA">
    <w:pPr>
      <w:pStyle w:val="Zhlav"/>
      <w:jc w:val="right"/>
      <w:rPr>
        <w:sz w:val="24"/>
        <w:szCs w:val="24"/>
      </w:rPr>
    </w:pPr>
    <w:r>
      <w:rPr>
        <w:sz w:val="24"/>
        <w:szCs w:val="24"/>
      </w:rPr>
      <w:t>Návrh smlouvy o dílo</w:t>
    </w:r>
  </w:p>
  <w:p w:rsidR="000344C5" w:rsidRDefault="000344C5" w:rsidP="00F76CCA">
    <w:pPr>
      <w:pStyle w:val="Zhlav"/>
      <w:jc w:val="right"/>
      <w:rPr>
        <w:sz w:val="24"/>
        <w:szCs w:val="24"/>
      </w:rPr>
    </w:pPr>
    <w:r>
      <w:rPr>
        <w:sz w:val="24"/>
        <w:szCs w:val="24"/>
      </w:rPr>
      <w:t>číslo smlouvy objednatele: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B0" w:rsidRDefault="00520AB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F520E75"/>
    <w:multiLevelType w:val="hybridMultilevel"/>
    <w:tmpl w:val="8BF4959A"/>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1">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4">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8">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5FA4842"/>
    <w:multiLevelType w:val="hybridMultilevel"/>
    <w:tmpl w:val="B246DB28"/>
    <w:lvl w:ilvl="0" w:tplc="0E3684BE">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3">
    <w:nsid w:val="78F1109B"/>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4">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12"/>
  </w:num>
  <w:num w:numId="4">
    <w:abstractNumId w:val="24"/>
  </w:num>
  <w:num w:numId="5">
    <w:abstractNumId w:val="26"/>
  </w:num>
  <w:num w:numId="6">
    <w:abstractNumId w:val="7"/>
  </w:num>
  <w:num w:numId="7">
    <w:abstractNumId w:val="5"/>
  </w:num>
  <w:num w:numId="8">
    <w:abstractNumId w:val="20"/>
  </w:num>
  <w:num w:numId="9">
    <w:abstractNumId w:val="2"/>
  </w:num>
  <w:num w:numId="10">
    <w:abstractNumId w:val="21"/>
  </w:num>
  <w:num w:numId="11">
    <w:abstractNumId w:val="19"/>
  </w:num>
  <w:num w:numId="12">
    <w:abstractNumId w:val="8"/>
  </w:num>
  <w:num w:numId="13">
    <w:abstractNumId w:val="0"/>
  </w:num>
  <w:num w:numId="14">
    <w:abstractNumId w:val="18"/>
  </w:num>
  <w:num w:numId="15">
    <w:abstractNumId w:val="10"/>
  </w:num>
  <w:num w:numId="16">
    <w:abstractNumId w:val="17"/>
  </w:num>
  <w:num w:numId="17">
    <w:abstractNumId w:val="22"/>
  </w:num>
  <w:num w:numId="18">
    <w:abstractNumId w:val="16"/>
  </w:num>
  <w:num w:numId="19">
    <w:abstractNumId w:val="25"/>
  </w:num>
  <w:num w:numId="20">
    <w:abstractNumId w:val="1"/>
  </w:num>
  <w:num w:numId="21">
    <w:abstractNumId w:val="14"/>
  </w:num>
  <w:num w:numId="22">
    <w:abstractNumId w:val="6"/>
  </w:num>
  <w:num w:numId="23">
    <w:abstractNumId w:val="11"/>
  </w:num>
  <w:num w:numId="24">
    <w:abstractNumId w:val="4"/>
  </w:num>
  <w:num w:numId="25">
    <w:abstractNumId w:val="3"/>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757"/>
    <w:rsid w:val="00020971"/>
    <w:rsid w:val="000215D3"/>
    <w:rsid w:val="000344C5"/>
    <w:rsid w:val="00036744"/>
    <w:rsid w:val="00040516"/>
    <w:rsid w:val="00043A55"/>
    <w:rsid w:val="0004438B"/>
    <w:rsid w:val="000518EB"/>
    <w:rsid w:val="00053D8D"/>
    <w:rsid w:val="00061322"/>
    <w:rsid w:val="00062CA0"/>
    <w:rsid w:val="00064B1D"/>
    <w:rsid w:val="0006644B"/>
    <w:rsid w:val="0007119C"/>
    <w:rsid w:val="00082EE7"/>
    <w:rsid w:val="00085ACD"/>
    <w:rsid w:val="00095FDB"/>
    <w:rsid w:val="00097193"/>
    <w:rsid w:val="000A0A64"/>
    <w:rsid w:val="000A171F"/>
    <w:rsid w:val="000A2E21"/>
    <w:rsid w:val="000A3F7C"/>
    <w:rsid w:val="000A5304"/>
    <w:rsid w:val="000B4217"/>
    <w:rsid w:val="000C4430"/>
    <w:rsid w:val="000C52B9"/>
    <w:rsid w:val="000D63FC"/>
    <w:rsid w:val="000F13C1"/>
    <w:rsid w:val="00102CFB"/>
    <w:rsid w:val="00113F18"/>
    <w:rsid w:val="00114E26"/>
    <w:rsid w:val="00115F27"/>
    <w:rsid w:val="0012112F"/>
    <w:rsid w:val="00124E54"/>
    <w:rsid w:val="00126A9A"/>
    <w:rsid w:val="001312B9"/>
    <w:rsid w:val="00133CA3"/>
    <w:rsid w:val="00134292"/>
    <w:rsid w:val="00134825"/>
    <w:rsid w:val="00143F3E"/>
    <w:rsid w:val="00146E48"/>
    <w:rsid w:val="00150F3F"/>
    <w:rsid w:val="00157829"/>
    <w:rsid w:val="00167E17"/>
    <w:rsid w:val="00172B03"/>
    <w:rsid w:val="00197CB7"/>
    <w:rsid w:val="001A0C30"/>
    <w:rsid w:val="001A5AF0"/>
    <w:rsid w:val="001A6F2A"/>
    <w:rsid w:val="001B51E2"/>
    <w:rsid w:val="001C14F3"/>
    <w:rsid w:val="001D601E"/>
    <w:rsid w:val="00203EBD"/>
    <w:rsid w:val="002179A8"/>
    <w:rsid w:val="002267EC"/>
    <w:rsid w:val="002354D1"/>
    <w:rsid w:val="0024417C"/>
    <w:rsid w:val="00246940"/>
    <w:rsid w:val="00251A87"/>
    <w:rsid w:val="002658A9"/>
    <w:rsid w:val="00265D44"/>
    <w:rsid w:val="002821D9"/>
    <w:rsid w:val="002A14A6"/>
    <w:rsid w:val="002A4133"/>
    <w:rsid w:val="002B65DD"/>
    <w:rsid w:val="002C119C"/>
    <w:rsid w:val="002C458F"/>
    <w:rsid w:val="002D2786"/>
    <w:rsid w:val="002D52B0"/>
    <w:rsid w:val="002E7917"/>
    <w:rsid w:val="00302F96"/>
    <w:rsid w:val="0032040C"/>
    <w:rsid w:val="003212B3"/>
    <w:rsid w:val="003231F1"/>
    <w:rsid w:val="00346428"/>
    <w:rsid w:val="00351647"/>
    <w:rsid w:val="00352D92"/>
    <w:rsid w:val="00353802"/>
    <w:rsid w:val="0036638E"/>
    <w:rsid w:val="00370AFF"/>
    <w:rsid w:val="0038091D"/>
    <w:rsid w:val="00396B2C"/>
    <w:rsid w:val="0039725D"/>
    <w:rsid w:val="003972B8"/>
    <w:rsid w:val="003B0799"/>
    <w:rsid w:val="003B4566"/>
    <w:rsid w:val="003B4CC3"/>
    <w:rsid w:val="003B70C8"/>
    <w:rsid w:val="003C35A8"/>
    <w:rsid w:val="003C7384"/>
    <w:rsid w:val="003D0288"/>
    <w:rsid w:val="003D09C1"/>
    <w:rsid w:val="003D29D6"/>
    <w:rsid w:val="003D5A9B"/>
    <w:rsid w:val="003E47D3"/>
    <w:rsid w:val="003E6152"/>
    <w:rsid w:val="003F4000"/>
    <w:rsid w:val="004023C0"/>
    <w:rsid w:val="0040457F"/>
    <w:rsid w:val="00406998"/>
    <w:rsid w:val="00414A4F"/>
    <w:rsid w:val="00415506"/>
    <w:rsid w:val="004331C0"/>
    <w:rsid w:val="004357B7"/>
    <w:rsid w:val="0044446E"/>
    <w:rsid w:val="004540F1"/>
    <w:rsid w:val="00455900"/>
    <w:rsid w:val="00457DD3"/>
    <w:rsid w:val="0046156D"/>
    <w:rsid w:val="00465103"/>
    <w:rsid w:val="00465C84"/>
    <w:rsid w:val="00467894"/>
    <w:rsid w:val="00473AE3"/>
    <w:rsid w:val="00481EBB"/>
    <w:rsid w:val="00482F7A"/>
    <w:rsid w:val="0048318A"/>
    <w:rsid w:val="0049284E"/>
    <w:rsid w:val="00492D37"/>
    <w:rsid w:val="004934DE"/>
    <w:rsid w:val="00495DE3"/>
    <w:rsid w:val="004B3E4F"/>
    <w:rsid w:val="004E0FAE"/>
    <w:rsid w:val="004F49F6"/>
    <w:rsid w:val="004F699B"/>
    <w:rsid w:val="004F6AA0"/>
    <w:rsid w:val="004F706A"/>
    <w:rsid w:val="00500C97"/>
    <w:rsid w:val="00502E1D"/>
    <w:rsid w:val="005138E7"/>
    <w:rsid w:val="00515086"/>
    <w:rsid w:val="00520AB0"/>
    <w:rsid w:val="005237DE"/>
    <w:rsid w:val="00524874"/>
    <w:rsid w:val="00530C5D"/>
    <w:rsid w:val="00557C70"/>
    <w:rsid w:val="00560BF2"/>
    <w:rsid w:val="00561A21"/>
    <w:rsid w:val="005629D6"/>
    <w:rsid w:val="00566F27"/>
    <w:rsid w:val="0057338B"/>
    <w:rsid w:val="00590FE6"/>
    <w:rsid w:val="00592BD8"/>
    <w:rsid w:val="00595E50"/>
    <w:rsid w:val="005963A8"/>
    <w:rsid w:val="00596B25"/>
    <w:rsid w:val="00597A31"/>
    <w:rsid w:val="005A4411"/>
    <w:rsid w:val="005A5408"/>
    <w:rsid w:val="005A5731"/>
    <w:rsid w:val="005A6283"/>
    <w:rsid w:val="005B0931"/>
    <w:rsid w:val="005B0BEF"/>
    <w:rsid w:val="005B58C5"/>
    <w:rsid w:val="005E3302"/>
    <w:rsid w:val="005E6150"/>
    <w:rsid w:val="005E7139"/>
    <w:rsid w:val="005E7D3D"/>
    <w:rsid w:val="005F7EDB"/>
    <w:rsid w:val="0060070E"/>
    <w:rsid w:val="00602BDB"/>
    <w:rsid w:val="00606C15"/>
    <w:rsid w:val="0061069B"/>
    <w:rsid w:val="00613941"/>
    <w:rsid w:val="00615570"/>
    <w:rsid w:val="00621E02"/>
    <w:rsid w:val="00625F67"/>
    <w:rsid w:val="006344C1"/>
    <w:rsid w:val="0063584C"/>
    <w:rsid w:val="00636C4C"/>
    <w:rsid w:val="006375DA"/>
    <w:rsid w:val="00654A49"/>
    <w:rsid w:val="00655D2D"/>
    <w:rsid w:val="00660182"/>
    <w:rsid w:val="00663602"/>
    <w:rsid w:val="00672836"/>
    <w:rsid w:val="00674BBA"/>
    <w:rsid w:val="00675882"/>
    <w:rsid w:val="00681A23"/>
    <w:rsid w:val="00682D96"/>
    <w:rsid w:val="00685587"/>
    <w:rsid w:val="006904F9"/>
    <w:rsid w:val="00690BCB"/>
    <w:rsid w:val="0069345E"/>
    <w:rsid w:val="006A1AA4"/>
    <w:rsid w:val="006A2655"/>
    <w:rsid w:val="006A2A29"/>
    <w:rsid w:val="006A5382"/>
    <w:rsid w:val="006B45DB"/>
    <w:rsid w:val="006D2154"/>
    <w:rsid w:val="006D6F14"/>
    <w:rsid w:val="006E1773"/>
    <w:rsid w:val="006E3756"/>
    <w:rsid w:val="006E4FC5"/>
    <w:rsid w:val="006F3DE9"/>
    <w:rsid w:val="006F579C"/>
    <w:rsid w:val="00703DB1"/>
    <w:rsid w:val="007047B6"/>
    <w:rsid w:val="00705208"/>
    <w:rsid w:val="00705435"/>
    <w:rsid w:val="0070722C"/>
    <w:rsid w:val="00731325"/>
    <w:rsid w:val="00732F72"/>
    <w:rsid w:val="00737864"/>
    <w:rsid w:val="007416C3"/>
    <w:rsid w:val="00743999"/>
    <w:rsid w:val="0074567D"/>
    <w:rsid w:val="00746F82"/>
    <w:rsid w:val="0074794D"/>
    <w:rsid w:val="0075034C"/>
    <w:rsid w:val="00750A54"/>
    <w:rsid w:val="00753CAB"/>
    <w:rsid w:val="00767CA6"/>
    <w:rsid w:val="00773F23"/>
    <w:rsid w:val="00776A70"/>
    <w:rsid w:val="0078024B"/>
    <w:rsid w:val="00783D5E"/>
    <w:rsid w:val="007853A6"/>
    <w:rsid w:val="00791998"/>
    <w:rsid w:val="00793B5A"/>
    <w:rsid w:val="007947EA"/>
    <w:rsid w:val="007A481F"/>
    <w:rsid w:val="007B268E"/>
    <w:rsid w:val="007B6975"/>
    <w:rsid w:val="007C3547"/>
    <w:rsid w:val="007C4B3B"/>
    <w:rsid w:val="007C4DEA"/>
    <w:rsid w:val="007C6049"/>
    <w:rsid w:val="007D362F"/>
    <w:rsid w:val="007D4A64"/>
    <w:rsid w:val="007E1065"/>
    <w:rsid w:val="007E7EE1"/>
    <w:rsid w:val="007F2AA2"/>
    <w:rsid w:val="0080215A"/>
    <w:rsid w:val="00803355"/>
    <w:rsid w:val="00806F68"/>
    <w:rsid w:val="00811ADE"/>
    <w:rsid w:val="008209F3"/>
    <w:rsid w:val="008249D7"/>
    <w:rsid w:val="00831C13"/>
    <w:rsid w:val="008374CD"/>
    <w:rsid w:val="00842029"/>
    <w:rsid w:val="0084231E"/>
    <w:rsid w:val="00847843"/>
    <w:rsid w:val="00857513"/>
    <w:rsid w:val="00872DA1"/>
    <w:rsid w:val="00874965"/>
    <w:rsid w:val="00874BE4"/>
    <w:rsid w:val="00880A54"/>
    <w:rsid w:val="00880B99"/>
    <w:rsid w:val="008862DE"/>
    <w:rsid w:val="0088630E"/>
    <w:rsid w:val="008A1017"/>
    <w:rsid w:val="008A1320"/>
    <w:rsid w:val="008A383B"/>
    <w:rsid w:val="008A3DED"/>
    <w:rsid w:val="008A7577"/>
    <w:rsid w:val="008B64CB"/>
    <w:rsid w:val="008C12D8"/>
    <w:rsid w:val="008C5622"/>
    <w:rsid w:val="008C7C04"/>
    <w:rsid w:val="008E02C8"/>
    <w:rsid w:val="008E069F"/>
    <w:rsid w:val="008F0CD2"/>
    <w:rsid w:val="008F59AC"/>
    <w:rsid w:val="008F6F60"/>
    <w:rsid w:val="00914F75"/>
    <w:rsid w:val="009178CD"/>
    <w:rsid w:val="00934FCA"/>
    <w:rsid w:val="00941C4B"/>
    <w:rsid w:val="00941F5F"/>
    <w:rsid w:val="009460F6"/>
    <w:rsid w:val="00946C23"/>
    <w:rsid w:val="009547DD"/>
    <w:rsid w:val="00957072"/>
    <w:rsid w:val="00963BCA"/>
    <w:rsid w:val="00965B92"/>
    <w:rsid w:val="00985BA2"/>
    <w:rsid w:val="0099006C"/>
    <w:rsid w:val="0099589C"/>
    <w:rsid w:val="00995FEB"/>
    <w:rsid w:val="009A3F58"/>
    <w:rsid w:val="009A71AC"/>
    <w:rsid w:val="009C54B9"/>
    <w:rsid w:val="009D658A"/>
    <w:rsid w:val="009E79F6"/>
    <w:rsid w:val="00A02706"/>
    <w:rsid w:val="00A038DD"/>
    <w:rsid w:val="00A06F0C"/>
    <w:rsid w:val="00A12DBD"/>
    <w:rsid w:val="00A14490"/>
    <w:rsid w:val="00A2293C"/>
    <w:rsid w:val="00A256C9"/>
    <w:rsid w:val="00A3017A"/>
    <w:rsid w:val="00A333A0"/>
    <w:rsid w:val="00A36328"/>
    <w:rsid w:val="00A37116"/>
    <w:rsid w:val="00A37F9B"/>
    <w:rsid w:val="00A46370"/>
    <w:rsid w:val="00A54045"/>
    <w:rsid w:val="00A57703"/>
    <w:rsid w:val="00A75E1C"/>
    <w:rsid w:val="00A77B67"/>
    <w:rsid w:val="00A82DEA"/>
    <w:rsid w:val="00A8687A"/>
    <w:rsid w:val="00A87620"/>
    <w:rsid w:val="00A90406"/>
    <w:rsid w:val="00AA74B8"/>
    <w:rsid w:val="00AB10C1"/>
    <w:rsid w:val="00AB376A"/>
    <w:rsid w:val="00AB4D65"/>
    <w:rsid w:val="00AB62F1"/>
    <w:rsid w:val="00AB695B"/>
    <w:rsid w:val="00AC10EA"/>
    <w:rsid w:val="00AC1195"/>
    <w:rsid w:val="00AC384A"/>
    <w:rsid w:val="00AD3584"/>
    <w:rsid w:val="00AE2642"/>
    <w:rsid w:val="00AE3EFB"/>
    <w:rsid w:val="00AE745D"/>
    <w:rsid w:val="00AE7F00"/>
    <w:rsid w:val="00B143F3"/>
    <w:rsid w:val="00B24F07"/>
    <w:rsid w:val="00B310E3"/>
    <w:rsid w:val="00B339C3"/>
    <w:rsid w:val="00B46B1D"/>
    <w:rsid w:val="00B753A2"/>
    <w:rsid w:val="00B82357"/>
    <w:rsid w:val="00B90640"/>
    <w:rsid w:val="00B90B47"/>
    <w:rsid w:val="00B9228B"/>
    <w:rsid w:val="00B9303C"/>
    <w:rsid w:val="00B93824"/>
    <w:rsid w:val="00BB2180"/>
    <w:rsid w:val="00BC2AEA"/>
    <w:rsid w:val="00BD463F"/>
    <w:rsid w:val="00BE3A33"/>
    <w:rsid w:val="00BF2F1E"/>
    <w:rsid w:val="00BF3255"/>
    <w:rsid w:val="00C04923"/>
    <w:rsid w:val="00C067BB"/>
    <w:rsid w:val="00C076A1"/>
    <w:rsid w:val="00C12C0B"/>
    <w:rsid w:val="00C13571"/>
    <w:rsid w:val="00C21BF4"/>
    <w:rsid w:val="00C27B95"/>
    <w:rsid w:val="00C327B0"/>
    <w:rsid w:val="00C32D88"/>
    <w:rsid w:val="00C45E22"/>
    <w:rsid w:val="00C51002"/>
    <w:rsid w:val="00C51BA5"/>
    <w:rsid w:val="00C56DD3"/>
    <w:rsid w:val="00C73640"/>
    <w:rsid w:val="00C77854"/>
    <w:rsid w:val="00C84727"/>
    <w:rsid w:val="00C84C3A"/>
    <w:rsid w:val="00C85501"/>
    <w:rsid w:val="00C85579"/>
    <w:rsid w:val="00C9449D"/>
    <w:rsid w:val="00CA2F02"/>
    <w:rsid w:val="00CA69C6"/>
    <w:rsid w:val="00CA6AD5"/>
    <w:rsid w:val="00CD15A7"/>
    <w:rsid w:val="00CE1C55"/>
    <w:rsid w:val="00CE5FEE"/>
    <w:rsid w:val="00D01489"/>
    <w:rsid w:val="00D03EDE"/>
    <w:rsid w:val="00D0464B"/>
    <w:rsid w:val="00D13D50"/>
    <w:rsid w:val="00D1698C"/>
    <w:rsid w:val="00D16D7B"/>
    <w:rsid w:val="00D16F68"/>
    <w:rsid w:val="00D4436A"/>
    <w:rsid w:val="00D461C5"/>
    <w:rsid w:val="00D5235C"/>
    <w:rsid w:val="00D54877"/>
    <w:rsid w:val="00D548C3"/>
    <w:rsid w:val="00D56AEB"/>
    <w:rsid w:val="00D6364B"/>
    <w:rsid w:val="00D711E4"/>
    <w:rsid w:val="00D77061"/>
    <w:rsid w:val="00D864CA"/>
    <w:rsid w:val="00D93480"/>
    <w:rsid w:val="00DA05F4"/>
    <w:rsid w:val="00DA3C03"/>
    <w:rsid w:val="00DB0147"/>
    <w:rsid w:val="00DC20E2"/>
    <w:rsid w:val="00DC26F4"/>
    <w:rsid w:val="00DD1FCA"/>
    <w:rsid w:val="00DD505A"/>
    <w:rsid w:val="00DE4D97"/>
    <w:rsid w:val="00DE5981"/>
    <w:rsid w:val="00DF1831"/>
    <w:rsid w:val="00DF4EC9"/>
    <w:rsid w:val="00E152A7"/>
    <w:rsid w:val="00E16347"/>
    <w:rsid w:val="00E3725D"/>
    <w:rsid w:val="00E40FDA"/>
    <w:rsid w:val="00E43D89"/>
    <w:rsid w:val="00E460FC"/>
    <w:rsid w:val="00E51409"/>
    <w:rsid w:val="00E5417F"/>
    <w:rsid w:val="00E62467"/>
    <w:rsid w:val="00E72798"/>
    <w:rsid w:val="00E75237"/>
    <w:rsid w:val="00E85099"/>
    <w:rsid w:val="00E869EB"/>
    <w:rsid w:val="00E873B3"/>
    <w:rsid w:val="00EA3BE5"/>
    <w:rsid w:val="00EB1CB6"/>
    <w:rsid w:val="00EB2847"/>
    <w:rsid w:val="00EB7238"/>
    <w:rsid w:val="00EB77C5"/>
    <w:rsid w:val="00EC1F0D"/>
    <w:rsid w:val="00EE5368"/>
    <w:rsid w:val="00EF3C51"/>
    <w:rsid w:val="00EF5E3C"/>
    <w:rsid w:val="00F001D3"/>
    <w:rsid w:val="00F05BEB"/>
    <w:rsid w:val="00F123F5"/>
    <w:rsid w:val="00F150A3"/>
    <w:rsid w:val="00F36D29"/>
    <w:rsid w:val="00F371C8"/>
    <w:rsid w:val="00F446B8"/>
    <w:rsid w:val="00F50AAE"/>
    <w:rsid w:val="00F60396"/>
    <w:rsid w:val="00F634A8"/>
    <w:rsid w:val="00F67E54"/>
    <w:rsid w:val="00F71965"/>
    <w:rsid w:val="00F76CCA"/>
    <w:rsid w:val="00F77893"/>
    <w:rsid w:val="00F844F5"/>
    <w:rsid w:val="00F866AD"/>
    <w:rsid w:val="00F87849"/>
    <w:rsid w:val="00FA5036"/>
    <w:rsid w:val="00FA5C88"/>
    <w:rsid w:val="00FA62AA"/>
    <w:rsid w:val="00FB1FB9"/>
    <w:rsid w:val="00FC0202"/>
    <w:rsid w:val="00FC4BE0"/>
    <w:rsid w:val="00FD4896"/>
    <w:rsid w:val="00FE1677"/>
    <w:rsid w:val="00FE1E1F"/>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link w:val="ZpatChar"/>
    <w:uiPriority w:val="99"/>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patChar">
    <w:name w:val="Zápatí Char"/>
    <w:basedOn w:val="Standardnpsmoodstavce"/>
    <w:link w:val="Zpat"/>
    <w:uiPriority w:val="99"/>
    <w:rsid w:val="009C54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link w:val="ZpatChar"/>
    <w:uiPriority w:val="99"/>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uiPriority w:val="99"/>
    <w:rsid w:val="00F76CCA"/>
  </w:style>
  <w:style w:type="paragraph" w:customStyle="1" w:styleId="13Stupovit">
    <w:name w:val="13. Stupňovité"/>
    <w:basedOn w:val="Normln"/>
    <w:rsid w:val="00595E50"/>
    <w:rPr>
      <w:sz w:val="24"/>
      <w:szCs w:val="24"/>
    </w:rPr>
  </w:style>
  <w:style w:type="character" w:customStyle="1" w:styleId="ZpatChar">
    <w:name w:val="Zápatí Char"/>
    <w:basedOn w:val="Standardnpsmoodstavce"/>
    <w:link w:val="Zpat"/>
    <w:uiPriority w:val="99"/>
    <w:rsid w:val="009C5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aQ2tmpjtmmLncjhF+0qe4q6TiTQ=</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pjb25EhPANaqO1wZf7SWyGN52Bs=</DigestValue>
    </Reference>
  </SignedInfo>
  <SignatureValue>SEJXhdNy2K/8xv4uNnwtpeCF1kKfb6CKrrUfB0Ig9EKJOCllhHHBQlfr+uC9/i9rSYCJRt8FFM+L
bXnM14CXgkEguXE+OyNEMrXZImD9SzhELQfenJHwtNpTTp8GZZOH/3D+qYg2IShXVJiFCcJAMEDm
0ZVaavrXdCwUkccGq+LmyP0hmU6cGu0HFprBnU8/OMiqxC7ceF8qgixrM3R7axLY1mZQB5qrSJbI
dDRu2gmnVrfgXi60GZyC0Q0XOiOFFUgv+01YAl8g8cOUQxt/IdYfJchUmb1UkMVfDrVDHeOGa1Ai
18GR78Wv44cJZedTLdsSoBaCpaOmpvdlbjuJ0A==</SignatureValue>
  <KeyInfo>
    <X509Data>
      <X509Certificate>MIIHIDCCBgigAwIBAgIDG8DeMA0GCSqGSIb3DQEBCwUAMF8xCzAJBgNVBAYTAkNaMSwwKgYDVQQK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1I6YEG/HUZvmY4g9cadJdCMFcjU=</DigestValue>
      </Reference>
      <Reference URI="/word/footer3.xml?ContentType=application/vnd.openxmlformats-officedocument.wordprocessingml.footer+xml">
        <DigestMethod Algorithm="http://www.w3.org/2000/09/xmldsig#sha1"/>
        <DigestValue>p68taECzc7l6JZQVLc7ILFrCZdY=</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9mOEze9VA1RWNy8Kheur9T9FY8s=</DigestValue>
      </Reference>
      <Reference URI="/word/styles.xml?ContentType=application/vnd.openxmlformats-officedocument.wordprocessingml.styles+xml">
        <DigestMethod Algorithm="http://www.w3.org/2000/09/xmldsig#sha1"/>
        <DigestValue>1Kbt7bLa8sVtJ8+kX8ivrjrSi9U=</DigestValue>
      </Reference>
      <Reference URI="/word/numbering.xml?ContentType=application/vnd.openxmlformats-officedocument.wordprocessingml.numbering+xml">
        <DigestMethod Algorithm="http://www.w3.org/2000/09/xmldsig#sha1"/>
        <DigestValue>rf/0jeeAeTibs/5V1o3TOodc2FM=</DigestValue>
      </Reference>
      <Reference URI="/word/fontTable.xml?ContentType=application/vnd.openxmlformats-officedocument.wordprocessingml.fontTable+xml">
        <DigestMethod Algorithm="http://www.w3.org/2000/09/xmldsig#sha1"/>
        <DigestValue>LSnuERxJzkK9VYxMyICEDle85Bs=</DigestValue>
      </Reference>
      <Reference URI="/word/footnotes.xml?ContentType=application/vnd.openxmlformats-officedocument.wordprocessingml.footnotes+xml">
        <DigestMethod Algorithm="http://www.w3.org/2000/09/xmldsig#sha1"/>
        <DigestValue>kTVuiAe1oVi3CJpw7tYkQikQX74=</DigestValue>
      </Reference>
      <Reference URI="/word/endnotes.xml?ContentType=application/vnd.openxmlformats-officedocument.wordprocessingml.endnotes+xml">
        <DigestMethod Algorithm="http://www.w3.org/2000/09/xmldsig#sha1"/>
        <DigestValue>udJS0bMJJzkB+O1GckU+1XV01U4=</DigestValue>
      </Reference>
      <Reference URI="/word/header1.xml?ContentType=application/vnd.openxmlformats-officedocument.wordprocessingml.header+xml">
        <DigestMethod Algorithm="http://www.w3.org/2000/09/xmldsig#sha1"/>
        <DigestValue>UE3sZGM6lLyM4BZQ9AJKYepWf78=</DigestValue>
      </Reference>
      <Reference URI="/word/document.xml?ContentType=application/vnd.openxmlformats-officedocument.wordprocessingml.document.main+xml">
        <DigestMethod Algorithm="http://www.w3.org/2000/09/xmldsig#sha1"/>
        <DigestValue>2InM+lcv35e/mZ7e5XiDoA/sWJM=</DigestValue>
      </Reference>
      <Reference URI="/word/stylesWithEffects.xml?ContentType=application/vnd.ms-word.stylesWithEffects+xml">
        <DigestMethod Algorithm="http://www.w3.org/2000/09/xmldsig#sha1"/>
        <DigestValue>RZROlC8G+dUEf6XSpATP7g7e7YA=</DigestValue>
      </Reference>
      <Reference URI="/word/header3.xml?ContentType=application/vnd.openxmlformats-officedocument.wordprocessingml.header+xml">
        <DigestMethod Algorithm="http://www.w3.org/2000/09/xmldsig#sha1"/>
        <DigestValue>7TV2QJzzVLPtXp674LALCtK803I=</DigestValue>
      </Reference>
      <Reference URI="/word/footer1.xml?ContentType=application/vnd.openxmlformats-officedocument.wordprocessingml.footer+xml">
        <DigestMethod Algorithm="http://www.w3.org/2000/09/xmldsig#sha1"/>
        <DigestValue>HlRfkuuyWxJRSiHozd27znUYCZE=</DigestValue>
      </Reference>
      <Reference URI="/word/header2.xml?ContentType=application/vnd.openxmlformats-officedocument.wordprocessingml.header+xml">
        <DigestMethod Algorithm="http://www.w3.org/2000/09/xmldsig#sha1"/>
        <DigestValue>u2ioGMFwXt1kWvRnxFcVG7a5MiM=</DigestValue>
      </Reference>
      <Reference URI="/word/footer2.xml?ContentType=application/vnd.openxmlformats-officedocument.wordprocessingml.footer+xml">
        <DigestMethod Algorithm="http://www.w3.org/2000/09/xmldsig#sha1"/>
        <DigestValue>ZV5fV4VxhGfzG2czkvQbPA04Iw0=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BkdZc9dchEBGjyZaUEaXDZctFV4=</DigestValue>
      </Reference>
    </Manifest>
    <SignatureProperties>
      <SignatureProperty Id="idSignatureTime" Target="#idPackageSignature">
        <mdssi:SignatureTime>
          <mdssi:Format>YYYY-MM-DDThh:mm:ssTZD</mdssi:Format>
          <mdssi:Value>2015-11-05T13:16:35Z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2015-11-05T13:16:35Z</xd:SigningTime>
          <xd:SigningCertificate>
            <xd:Cert>
              <xd:CertDigest>
                <DigestMethod Algorithm="http://www.w3.org/2000/09/xmldsig#sha1"/>
                <DigestValue>uyVsx3q6Sv2Pgb7GiDjTc6oj9OY=</DigestValue>
              </xd:CertDigest>
              <xd:IssuerSerial>
                <X509IssuerName>CN=PostSignum Qualified CA 2, O="Česká pošta, s.p. [IČ 47114983]", C=CZ</X509IssuerName>
                <X509SerialNumber>1818846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68D1-3CA2-4C16-ADE7-F2103ACA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2393</Words>
  <Characters>14124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16485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128</cp:revision>
  <cp:lastPrinted>2015-04-29T12:45:00Z</cp:lastPrinted>
  <dcterms:created xsi:type="dcterms:W3CDTF">2015-04-28T10:55:00Z</dcterms:created>
  <dcterms:modified xsi:type="dcterms:W3CDTF">2015-11-05T12:23:00Z</dcterms:modified>
</cp:coreProperties>
</file>