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1039CE" w:rsidP="000D31DF">
            <w:pPr>
              <w:rPr>
                <w:sz w:val="24"/>
              </w:rPr>
            </w:pPr>
            <w:r>
              <w:rPr>
                <w:sz w:val="24"/>
              </w:rPr>
              <w:t>Jaroslav Martínek</w:t>
            </w:r>
            <w:r w:rsidR="00DA1480" w:rsidRPr="00A75910">
              <w:rPr>
                <w:sz w:val="24"/>
              </w:rPr>
              <w:t>, tel.: 602</w:t>
            </w:r>
            <w:r w:rsidR="009F79C0" w:rsidRPr="00A75910">
              <w:rPr>
                <w:sz w:val="24"/>
              </w:rPr>
              <w:t> </w:t>
            </w:r>
            <w:r>
              <w:rPr>
                <w:sz w:val="24"/>
              </w:rPr>
              <w:t>279</w:t>
            </w:r>
            <w:r w:rsidR="009F79C0" w:rsidRPr="00A75910">
              <w:rPr>
                <w:sz w:val="24"/>
              </w:rPr>
              <w:t xml:space="preserve"> </w:t>
            </w:r>
            <w:r>
              <w:rPr>
                <w:sz w:val="24"/>
              </w:rPr>
              <w:t>459</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DF2BC1" w:rsidRDefault="00DA1480" w:rsidP="00DA1480">
      <w:pPr>
        <w:shd w:val="clear" w:color="00FFFF" w:fill="auto"/>
        <w:spacing w:beforeLines="20" w:before="48" w:after="120"/>
        <w:jc w:val="center"/>
        <w:rPr>
          <w:b/>
          <w:caps/>
          <w:sz w:val="24"/>
          <w:szCs w:val="24"/>
          <w:u w:val="single"/>
        </w:rPr>
      </w:pPr>
      <w:r>
        <w:rPr>
          <w:b/>
          <w:caps/>
          <w:sz w:val="24"/>
          <w:szCs w:val="24"/>
          <w:u w:val="single"/>
        </w:rPr>
        <w:t xml:space="preserve">I. </w:t>
      </w:r>
      <w:r w:rsidR="00AE2642" w:rsidRPr="00DA1480">
        <w:rPr>
          <w:b/>
          <w:caps/>
          <w:sz w:val="24"/>
          <w:szCs w:val="24"/>
          <w:u w:val="single"/>
        </w:rPr>
        <w:t>PŘEDMĚT</w:t>
      </w:r>
      <w:r w:rsidR="00053D8D" w:rsidRPr="00DA1480">
        <w:rPr>
          <w:b/>
          <w:caps/>
          <w:sz w:val="24"/>
          <w:szCs w:val="24"/>
          <w:u w:val="single"/>
        </w:rPr>
        <w:t xml:space="preserve"> </w:t>
      </w:r>
      <w:r w:rsidR="00AE2642" w:rsidRPr="00DA1480">
        <w:rPr>
          <w:b/>
          <w:caps/>
          <w:sz w:val="24"/>
          <w:szCs w:val="24"/>
          <w:u w:val="single"/>
        </w:rPr>
        <w:t>DÍLA</w:t>
      </w:r>
    </w:p>
    <w:p w:rsidR="00AD432A" w:rsidRDefault="00AD432A" w:rsidP="00AD432A">
      <w:pPr>
        <w:pStyle w:val="Zkladntext3"/>
        <w:jc w:val="both"/>
        <w:rPr>
          <w:szCs w:val="24"/>
        </w:rPr>
      </w:pPr>
    </w:p>
    <w:p w:rsidR="00F15F1B" w:rsidRDefault="0096722E" w:rsidP="00AD432A">
      <w:pPr>
        <w:pStyle w:val="Zkladntext3"/>
        <w:jc w:val="both"/>
        <w:rPr>
          <w:szCs w:val="24"/>
        </w:rPr>
      </w:pPr>
      <w:r w:rsidRPr="0096722E">
        <w:rPr>
          <w:bCs/>
        </w:rPr>
        <w:t>Předmětem této smlouvy</w:t>
      </w:r>
      <w:r w:rsidR="00F15F1B" w:rsidRPr="0096722E">
        <w:rPr>
          <w:bCs/>
        </w:rPr>
        <w:t xml:space="preserve"> je r</w:t>
      </w:r>
      <w:r>
        <w:rPr>
          <w:bCs/>
        </w:rPr>
        <w:t xml:space="preserve">ealizace </w:t>
      </w:r>
      <w:r w:rsidRPr="0096722E">
        <w:rPr>
          <w:bCs/>
        </w:rPr>
        <w:t>st</w:t>
      </w:r>
      <w:r w:rsidR="00BC3DFB">
        <w:rPr>
          <w:bCs/>
          <w:iCs/>
        </w:rPr>
        <w:t xml:space="preserve">avebních úprav </w:t>
      </w:r>
      <w:r w:rsidR="005E23C7" w:rsidRPr="00F15F1B">
        <w:rPr>
          <w:bCs/>
          <w:iCs/>
          <w:szCs w:val="24"/>
        </w:rPr>
        <w:t xml:space="preserve">stávajících sociálních zařízení v ubytovací části ubytovny, </w:t>
      </w:r>
      <w:r w:rsidR="005E23C7" w:rsidRPr="00F15F1B">
        <w:rPr>
          <w:szCs w:val="24"/>
        </w:rPr>
        <w:t>budova A – 2. a 3. NP, budova B – 1., 2. a 3 NP,</w:t>
      </w:r>
      <w:r w:rsidR="00BC3DFB">
        <w:rPr>
          <w:bCs/>
          <w:iCs/>
          <w:szCs w:val="24"/>
        </w:rPr>
        <w:t xml:space="preserve"> ve vojenském </w:t>
      </w:r>
      <w:r w:rsidRPr="0096722E">
        <w:rPr>
          <w:bCs/>
          <w:iCs/>
        </w:rPr>
        <w:t>ubytovacím zařízení</w:t>
      </w:r>
      <w:r w:rsidR="00F15F1B" w:rsidRPr="0096722E">
        <w:rPr>
          <w:bCs/>
          <w:iCs/>
        </w:rPr>
        <w:t xml:space="preserve"> Podbaba</w:t>
      </w:r>
      <w:r>
        <w:rPr>
          <w:bCs/>
          <w:iCs/>
        </w:rPr>
        <w:t xml:space="preserve"> (dále jen „VUZ Podbaba</w:t>
      </w:r>
      <w:r w:rsidR="00847A8F">
        <w:rPr>
          <w:bCs/>
          <w:iCs/>
        </w:rPr>
        <w:t>“</w:t>
      </w:r>
      <w:r>
        <w:rPr>
          <w:bCs/>
          <w:iCs/>
        </w:rPr>
        <w:t>) dle zpracované projektové dokumentace „</w:t>
      </w:r>
      <w:r w:rsidRPr="003B5DA6">
        <w:rPr>
          <w:bCs/>
          <w:iCs/>
        </w:rPr>
        <w:t xml:space="preserve">Stavební úpravy ve VUZ Podbaba – Podbabská </w:t>
      </w:r>
      <w:r w:rsidR="00EE16AE" w:rsidRPr="003B5DA6">
        <w:rPr>
          <w:bCs/>
          <w:iCs/>
        </w:rPr>
        <w:t>1589/1</w:t>
      </w:r>
      <w:r w:rsidR="00EE16AE">
        <w:rPr>
          <w:bCs/>
          <w:iCs/>
        </w:rPr>
        <w:t xml:space="preserve">, zpracovatel OMEGA </w:t>
      </w:r>
      <w:r w:rsidR="00A628B6">
        <w:rPr>
          <w:bCs/>
          <w:iCs/>
        </w:rPr>
        <w:t>project</w:t>
      </w:r>
      <w:r w:rsidR="00EE16AE">
        <w:rPr>
          <w:bCs/>
          <w:iCs/>
        </w:rPr>
        <w:t xml:space="preserve"> s.r.o., </w:t>
      </w:r>
      <w:r w:rsidR="00EE16AE" w:rsidRPr="00EE16AE">
        <w:rPr>
          <w:szCs w:val="24"/>
        </w:rPr>
        <w:t xml:space="preserve">Milady Horákové 66/103, </w:t>
      </w:r>
      <w:r w:rsidR="00EE16AE" w:rsidRPr="00EE16AE">
        <w:rPr>
          <w:szCs w:val="24"/>
        </w:rPr>
        <w:lastRenderedPageBreak/>
        <w:t>160 00 Praha 6 – Hradčany</w:t>
      </w:r>
      <w:r w:rsidR="005E23C7">
        <w:rPr>
          <w:szCs w:val="24"/>
        </w:rPr>
        <w:t xml:space="preserve"> a dle oceněného soupisu</w:t>
      </w:r>
      <w:r w:rsidR="002C01F5">
        <w:rPr>
          <w:szCs w:val="24"/>
        </w:rPr>
        <w:t xml:space="preserve"> stavebních prací a dodávek. </w:t>
      </w:r>
      <w:r w:rsidR="00BC3DFB">
        <w:rPr>
          <w:szCs w:val="24"/>
        </w:rPr>
        <w:t>S</w:t>
      </w:r>
      <w:r w:rsidR="00CF6A6F">
        <w:rPr>
          <w:szCs w:val="24"/>
        </w:rPr>
        <w:t xml:space="preserve">oupis je nedílnou přílohou </w:t>
      </w:r>
      <w:r w:rsidR="00567722">
        <w:rPr>
          <w:szCs w:val="24"/>
        </w:rPr>
        <w:t>č. 2. této</w:t>
      </w:r>
      <w:r w:rsidR="00CF6A6F">
        <w:rPr>
          <w:szCs w:val="24"/>
        </w:rPr>
        <w:t xml:space="preserve"> smlouvy</w:t>
      </w:r>
      <w:r w:rsidR="002C01F5">
        <w:rPr>
          <w:szCs w:val="24"/>
        </w:rPr>
        <w:t>.</w:t>
      </w:r>
    </w:p>
    <w:p w:rsidR="00BC3DFB" w:rsidRDefault="00BC3DFB" w:rsidP="00AD432A">
      <w:pPr>
        <w:pStyle w:val="Zkladntext3"/>
        <w:jc w:val="both"/>
        <w:rPr>
          <w:szCs w:val="24"/>
        </w:rPr>
      </w:pPr>
    </w:p>
    <w:p w:rsidR="00DF2BC1" w:rsidRDefault="00DF2BC1" w:rsidP="00DF2BC1">
      <w:pPr>
        <w:jc w:val="both"/>
        <w:rPr>
          <w:b/>
          <w:bCs/>
          <w:iCs/>
          <w:color w:val="000000"/>
          <w:sz w:val="24"/>
          <w:szCs w:val="24"/>
          <w:u w:val="single"/>
        </w:rPr>
      </w:pPr>
      <w:r w:rsidRPr="00DF2BC1">
        <w:rPr>
          <w:b/>
          <w:color w:val="000000"/>
          <w:sz w:val="24"/>
          <w:szCs w:val="24"/>
          <w:u w:val="single"/>
        </w:rPr>
        <w:t>Rozsah požadovaných prací:</w:t>
      </w:r>
      <w:r w:rsidRPr="00DF2BC1">
        <w:rPr>
          <w:b/>
          <w:bCs/>
          <w:iCs/>
          <w:color w:val="000000"/>
          <w:sz w:val="24"/>
          <w:szCs w:val="24"/>
          <w:u w:val="single"/>
        </w:rPr>
        <w:t xml:space="preserve"> </w:t>
      </w:r>
    </w:p>
    <w:p w:rsidR="003B5DA6" w:rsidRDefault="00CF6A6F" w:rsidP="002B17D2">
      <w:pPr>
        <w:pStyle w:val="Zkladntext3"/>
        <w:tabs>
          <w:tab w:val="left" w:pos="567"/>
        </w:tabs>
        <w:jc w:val="both"/>
        <w:rPr>
          <w:szCs w:val="24"/>
        </w:rPr>
      </w:pPr>
      <w:r>
        <w:rPr>
          <w:szCs w:val="24"/>
        </w:rPr>
        <w:t>-</w:t>
      </w:r>
      <w:r>
        <w:rPr>
          <w:szCs w:val="24"/>
        </w:rPr>
        <w:tab/>
        <w:t>realizace díla</w:t>
      </w:r>
      <w:r w:rsidR="003B5DA6" w:rsidRPr="001C777D">
        <w:rPr>
          <w:szCs w:val="24"/>
        </w:rPr>
        <w:t xml:space="preserve"> dle zp</w:t>
      </w:r>
      <w:r w:rsidR="002B17D2">
        <w:rPr>
          <w:szCs w:val="24"/>
        </w:rPr>
        <w:t>racované projektové dokumentace (dále jen</w:t>
      </w:r>
      <w:r w:rsidR="003B5DA6">
        <w:rPr>
          <w:szCs w:val="24"/>
        </w:rPr>
        <w:t xml:space="preserve"> </w:t>
      </w:r>
      <w:r w:rsidR="002B17D2">
        <w:rPr>
          <w:szCs w:val="24"/>
        </w:rPr>
        <w:t>PD)</w:t>
      </w:r>
      <w:r>
        <w:rPr>
          <w:szCs w:val="24"/>
        </w:rPr>
        <w:t>,</w:t>
      </w:r>
    </w:p>
    <w:p w:rsidR="002B17D2" w:rsidRDefault="003B5DA6" w:rsidP="002B17D2">
      <w:pPr>
        <w:pStyle w:val="Zkladntext3"/>
        <w:tabs>
          <w:tab w:val="left" w:pos="567"/>
        </w:tabs>
        <w:spacing w:before="0"/>
        <w:jc w:val="both"/>
        <w:rPr>
          <w:szCs w:val="24"/>
        </w:rPr>
      </w:pPr>
      <w:r>
        <w:rPr>
          <w:szCs w:val="24"/>
        </w:rPr>
        <w:t>-</w:t>
      </w:r>
      <w:r>
        <w:rPr>
          <w:szCs w:val="24"/>
        </w:rPr>
        <w:tab/>
        <w:t xml:space="preserve">realizace </w:t>
      </w:r>
      <w:r w:rsidR="000825B4">
        <w:rPr>
          <w:szCs w:val="24"/>
        </w:rPr>
        <w:t xml:space="preserve"> </w:t>
      </w:r>
      <w:r>
        <w:rPr>
          <w:szCs w:val="24"/>
        </w:rPr>
        <w:t xml:space="preserve">díla </w:t>
      </w:r>
      <w:r w:rsidR="00B06585">
        <w:rPr>
          <w:szCs w:val="24"/>
        </w:rPr>
        <w:t xml:space="preserve"> </w:t>
      </w:r>
      <w:r>
        <w:rPr>
          <w:szCs w:val="24"/>
        </w:rPr>
        <w:t xml:space="preserve">podléhá </w:t>
      </w:r>
      <w:r w:rsidR="00B06585">
        <w:rPr>
          <w:szCs w:val="24"/>
        </w:rPr>
        <w:t xml:space="preserve"> </w:t>
      </w:r>
      <w:r>
        <w:rPr>
          <w:szCs w:val="24"/>
        </w:rPr>
        <w:t xml:space="preserve">stavebnímu </w:t>
      </w:r>
      <w:r w:rsidR="00B06585">
        <w:rPr>
          <w:szCs w:val="24"/>
        </w:rPr>
        <w:t xml:space="preserve"> </w:t>
      </w:r>
      <w:r>
        <w:rPr>
          <w:szCs w:val="24"/>
        </w:rPr>
        <w:t>řízení. Stavební povolení čj.:</w:t>
      </w:r>
      <w:r w:rsidR="00CF6A6F">
        <w:rPr>
          <w:szCs w:val="24"/>
        </w:rPr>
        <w:t xml:space="preserve"> 20-3/2011-4607, </w:t>
      </w:r>
      <w:r w:rsidR="00B06585">
        <w:rPr>
          <w:szCs w:val="24"/>
        </w:rPr>
        <w:t xml:space="preserve"> </w:t>
      </w:r>
      <w:r w:rsidR="00CF6A6F">
        <w:rPr>
          <w:szCs w:val="24"/>
        </w:rPr>
        <w:t xml:space="preserve">ze </w:t>
      </w:r>
      <w:r w:rsidR="00B06585">
        <w:rPr>
          <w:szCs w:val="24"/>
        </w:rPr>
        <w:t xml:space="preserve"> </w:t>
      </w:r>
      <w:r w:rsidR="00CF6A6F">
        <w:rPr>
          <w:szCs w:val="24"/>
        </w:rPr>
        <w:t xml:space="preserve">dne </w:t>
      </w:r>
      <w:r w:rsidR="00CF6A6F">
        <w:rPr>
          <w:szCs w:val="24"/>
        </w:rPr>
        <w:tab/>
        <w:t>27. října 2011, t</w:t>
      </w:r>
      <w:r>
        <w:rPr>
          <w:szCs w:val="24"/>
        </w:rPr>
        <w:t xml:space="preserve">ermín dokončení stavby prodloužen rozhodnutím čj. 1315-3/2015-1216 ze dne </w:t>
      </w:r>
      <w:r w:rsidR="00CF6A6F">
        <w:rPr>
          <w:szCs w:val="24"/>
        </w:rPr>
        <w:tab/>
      </w:r>
      <w:r w:rsidR="002B17D2">
        <w:rPr>
          <w:szCs w:val="24"/>
        </w:rPr>
        <w:t>2</w:t>
      </w:r>
      <w:r>
        <w:rPr>
          <w:szCs w:val="24"/>
        </w:rPr>
        <w:t>4.</w:t>
      </w:r>
      <w:r w:rsidR="00CF6A6F">
        <w:rPr>
          <w:szCs w:val="24"/>
        </w:rPr>
        <w:t xml:space="preserve"> </w:t>
      </w:r>
      <w:r>
        <w:rPr>
          <w:szCs w:val="24"/>
        </w:rPr>
        <w:t xml:space="preserve">června </w:t>
      </w:r>
      <w:r w:rsidR="00CF6A6F">
        <w:rPr>
          <w:szCs w:val="24"/>
        </w:rPr>
        <w:t>2015,</w:t>
      </w:r>
    </w:p>
    <w:p w:rsidR="002B17D2" w:rsidRDefault="003B5DA6" w:rsidP="006F2FFD">
      <w:pPr>
        <w:pStyle w:val="Zkladntext3"/>
        <w:tabs>
          <w:tab w:val="left" w:pos="567"/>
        </w:tabs>
        <w:spacing w:before="0"/>
        <w:jc w:val="both"/>
        <w:rPr>
          <w:bCs/>
          <w:szCs w:val="24"/>
        </w:rPr>
      </w:pPr>
      <w:r w:rsidRPr="001C777D">
        <w:rPr>
          <w:bCs/>
          <w:szCs w:val="24"/>
        </w:rPr>
        <w:t>-</w:t>
      </w:r>
      <w:r w:rsidRPr="001C777D">
        <w:rPr>
          <w:bCs/>
          <w:szCs w:val="24"/>
        </w:rPr>
        <w:tab/>
      </w:r>
      <w:r w:rsidRPr="001C777D">
        <w:rPr>
          <w:szCs w:val="24"/>
        </w:rPr>
        <w:t>inženýrská činnost souvisejíc</w:t>
      </w:r>
      <w:r>
        <w:rPr>
          <w:szCs w:val="24"/>
        </w:rPr>
        <w:t xml:space="preserve">í se zabezpečením </w:t>
      </w:r>
      <w:r w:rsidR="00CF6A6F">
        <w:rPr>
          <w:szCs w:val="24"/>
        </w:rPr>
        <w:t xml:space="preserve"> </w:t>
      </w:r>
      <w:r>
        <w:rPr>
          <w:szCs w:val="24"/>
        </w:rPr>
        <w:t>kolaudačního ř</w:t>
      </w:r>
      <w:r w:rsidRPr="001C777D">
        <w:rPr>
          <w:szCs w:val="24"/>
        </w:rPr>
        <w:t xml:space="preserve">ízení, vydání </w:t>
      </w:r>
      <w:r w:rsidR="002C01F5">
        <w:rPr>
          <w:szCs w:val="24"/>
        </w:rPr>
        <w:t xml:space="preserve"> </w:t>
      </w:r>
      <w:r w:rsidRPr="001C777D">
        <w:rPr>
          <w:szCs w:val="24"/>
        </w:rPr>
        <w:t>kolaudačního</w:t>
      </w:r>
      <w:r w:rsidR="002C01F5">
        <w:rPr>
          <w:szCs w:val="24"/>
        </w:rPr>
        <w:t xml:space="preserve"> </w:t>
      </w:r>
      <w:r w:rsidRPr="001C777D">
        <w:rPr>
          <w:szCs w:val="24"/>
        </w:rPr>
        <w:t xml:space="preserve"> </w:t>
      </w:r>
      <w:r w:rsidR="002C01F5">
        <w:rPr>
          <w:szCs w:val="24"/>
        </w:rPr>
        <w:tab/>
        <w:t>s</w:t>
      </w:r>
      <w:r w:rsidRPr="001C777D">
        <w:rPr>
          <w:szCs w:val="24"/>
        </w:rPr>
        <w:t>ouhlasu a zajištění event. dalších povole</w:t>
      </w:r>
      <w:r w:rsidR="002B17D2">
        <w:rPr>
          <w:szCs w:val="24"/>
        </w:rPr>
        <w:t xml:space="preserve">ní k užívání </w:t>
      </w:r>
      <w:r w:rsidR="002B17D2">
        <w:rPr>
          <w:szCs w:val="24"/>
        </w:rPr>
        <w:tab/>
        <w:t xml:space="preserve">stavby a uvedení </w:t>
      </w:r>
      <w:r w:rsidRPr="001C777D">
        <w:rPr>
          <w:szCs w:val="24"/>
        </w:rPr>
        <w:t xml:space="preserve">stavby do provozu, </w:t>
      </w:r>
      <w:r w:rsidR="002B17D2">
        <w:rPr>
          <w:szCs w:val="24"/>
        </w:rPr>
        <w:tab/>
      </w:r>
      <w:r w:rsidRPr="001C777D">
        <w:rPr>
          <w:szCs w:val="24"/>
        </w:rPr>
        <w:t xml:space="preserve">včetně </w:t>
      </w:r>
      <w:r w:rsidR="00CF6A6F">
        <w:rPr>
          <w:szCs w:val="24"/>
        </w:rPr>
        <w:t xml:space="preserve"> </w:t>
      </w:r>
      <w:r w:rsidRPr="001C777D">
        <w:rPr>
          <w:szCs w:val="24"/>
        </w:rPr>
        <w:t xml:space="preserve">zajištění </w:t>
      </w:r>
      <w:r w:rsidR="00CF6A6F">
        <w:rPr>
          <w:szCs w:val="24"/>
        </w:rPr>
        <w:t xml:space="preserve">  </w:t>
      </w:r>
      <w:r w:rsidRPr="001C777D">
        <w:rPr>
          <w:szCs w:val="24"/>
        </w:rPr>
        <w:t xml:space="preserve">souvisejících </w:t>
      </w:r>
      <w:r w:rsidR="00CF6A6F">
        <w:rPr>
          <w:szCs w:val="24"/>
        </w:rPr>
        <w:t xml:space="preserve"> </w:t>
      </w:r>
      <w:r w:rsidRPr="001C777D">
        <w:rPr>
          <w:szCs w:val="24"/>
        </w:rPr>
        <w:t xml:space="preserve">žádostí, dokladů </w:t>
      </w:r>
      <w:r w:rsidR="00CF6A6F">
        <w:rPr>
          <w:szCs w:val="24"/>
        </w:rPr>
        <w:t xml:space="preserve"> </w:t>
      </w:r>
      <w:r w:rsidRPr="001C777D">
        <w:rPr>
          <w:szCs w:val="24"/>
        </w:rPr>
        <w:t>a</w:t>
      </w:r>
      <w:r w:rsidR="00CF6A6F">
        <w:rPr>
          <w:szCs w:val="24"/>
        </w:rPr>
        <w:t xml:space="preserve"> </w:t>
      </w:r>
      <w:r w:rsidRPr="001C777D">
        <w:rPr>
          <w:szCs w:val="24"/>
        </w:rPr>
        <w:t xml:space="preserve"> kladných </w:t>
      </w:r>
      <w:r w:rsidR="00CF6A6F">
        <w:rPr>
          <w:szCs w:val="24"/>
        </w:rPr>
        <w:t xml:space="preserve"> </w:t>
      </w:r>
      <w:r w:rsidRPr="001C777D">
        <w:rPr>
          <w:szCs w:val="24"/>
        </w:rPr>
        <w:t xml:space="preserve">stanovisek </w:t>
      </w:r>
      <w:r w:rsidR="00CF6A6F">
        <w:rPr>
          <w:szCs w:val="24"/>
        </w:rPr>
        <w:t xml:space="preserve"> </w:t>
      </w:r>
      <w:r w:rsidRPr="001C777D">
        <w:rPr>
          <w:szCs w:val="24"/>
        </w:rPr>
        <w:t xml:space="preserve">dotčených </w:t>
      </w:r>
      <w:r w:rsidR="00CF6A6F">
        <w:rPr>
          <w:szCs w:val="24"/>
        </w:rPr>
        <w:t xml:space="preserve"> </w:t>
      </w:r>
      <w:r w:rsidRPr="001C777D">
        <w:rPr>
          <w:szCs w:val="24"/>
        </w:rPr>
        <w:t>orgánů.</w:t>
      </w:r>
    </w:p>
    <w:p w:rsidR="003B5DA6" w:rsidRPr="004B0470" w:rsidRDefault="003B5DA6" w:rsidP="006F2FFD">
      <w:pPr>
        <w:pStyle w:val="Zkladntext3"/>
        <w:tabs>
          <w:tab w:val="left" w:pos="567"/>
        </w:tabs>
        <w:spacing w:before="0"/>
        <w:jc w:val="both"/>
        <w:rPr>
          <w:b/>
          <w:szCs w:val="24"/>
        </w:rPr>
      </w:pPr>
      <w:r w:rsidRPr="001C777D">
        <w:rPr>
          <w:szCs w:val="24"/>
        </w:rPr>
        <w:t>-</w:t>
      </w:r>
      <w:r w:rsidRPr="001C777D">
        <w:rPr>
          <w:szCs w:val="24"/>
        </w:rPr>
        <w:tab/>
      </w:r>
      <w:r w:rsidRPr="001C777D">
        <w:rPr>
          <w:bCs/>
          <w:iCs/>
          <w:szCs w:val="24"/>
        </w:rPr>
        <w:t>v</w:t>
      </w:r>
      <w:r w:rsidRPr="001C777D">
        <w:rPr>
          <w:szCs w:val="24"/>
        </w:rPr>
        <w:t xml:space="preserve">eškeré stavební práce, dodávky a montáže, demontáže, </w:t>
      </w:r>
      <w:r w:rsidR="00CF6A6F">
        <w:rPr>
          <w:szCs w:val="24"/>
        </w:rPr>
        <w:t xml:space="preserve"> </w:t>
      </w:r>
      <w:r w:rsidRPr="001C777D">
        <w:rPr>
          <w:szCs w:val="24"/>
        </w:rPr>
        <w:t>služby</w:t>
      </w:r>
      <w:r w:rsidR="00CF6A6F">
        <w:rPr>
          <w:szCs w:val="24"/>
        </w:rPr>
        <w:t xml:space="preserve"> </w:t>
      </w:r>
      <w:r w:rsidRPr="001C777D">
        <w:rPr>
          <w:szCs w:val="24"/>
        </w:rPr>
        <w:t xml:space="preserve"> a </w:t>
      </w:r>
      <w:r w:rsidR="00CF6A6F">
        <w:rPr>
          <w:szCs w:val="24"/>
        </w:rPr>
        <w:t xml:space="preserve"> </w:t>
      </w:r>
      <w:r w:rsidR="004B0470">
        <w:rPr>
          <w:szCs w:val="24"/>
        </w:rPr>
        <w:t xml:space="preserve">předání </w:t>
      </w:r>
      <w:r w:rsidR="00CF6A6F">
        <w:rPr>
          <w:szCs w:val="24"/>
        </w:rPr>
        <w:t xml:space="preserve"> </w:t>
      </w:r>
      <w:r w:rsidR="004B0470">
        <w:rPr>
          <w:szCs w:val="24"/>
        </w:rPr>
        <w:t xml:space="preserve">veškerých </w:t>
      </w:r>
      <w:r w:rsidR="00CF6A6F">
        <w:rPr>
          <w:szCs w:val="24"/>
        </w:rPr>
        <w:t xml:space="preserve"> </w:t>
      </w:r>
      <w:r w:rsidR="004B0470">
        <w:rPr>
          <w:szCs w:val="24"/>
        </w:rPr>
        <w:t xml:space="preserve">částí </w:t>
      </w:r>
      <w:r w:rsidR="00CF6A6F">
        <w:rPr>
          <w:szCs w:val="24"/>
        </w:rPr>
        <w:tab/>
        <w:t>s</w:t>
      </w:r>
      <w:r w:rsidR="004B0470">
        <w:rPr>
          <w:szCs w:val="24"/>
        </w:rPr>
        <w:t>tavby budovy</w:t>
      </w:r>
      <w:r w:rsidR="004B0470" w:rsidRPr="00F15F1B">
        <w:rPr>
          <w:szCs w:val="24"/>
        </w:rPr>
        <w:t xml:space="preserve"> A – 2. a 3. NP, budova B – 1., 2. a 3 NP</w:t>
      </w:r>
      <w:r w:rsidR="00CF6A6F">
        <w:rPr>
          <w:szCs w:val="24"/>
        </w:rPr>
        <w:t>,</w:t>
      </w:r>
      <w:r w:rsidR="006F2FFD">
        <w:rPr>
          <w:szCs w:val="24"/>
        </w:rPr>
        <w:t xml:space="preserve"> </w:t>
      </w:r>
    </w:p>
    <w:p w:rsidR="003B5DA6" w:rsidRPr="001C777D" w:rsidRDefault="003B5DA6" w:rsidP="002B17D2">
      <w:pPr>
        <w:tabs>
          <w:tab w:val="left" w:pos="567"/>
          <w:tab w:val="left" w:pos="1800"/>
          <w:tab w:val="left" w:pos="4140"/>
          <w:tab w:val="left" w:pos="5940"/>
        </w:tabs>
        <w:jc w:val="both"/>
        <w:rPr>
          <w:sz w:val="24"/>
          <w:szCs w:val="24"/>
        </w:rPr>
      </w:pPr>
      <w:r w:rsidRPr="001C777D">
        <w:rPr>
          <w:sz w:val="24"/>
          <w:szCs w:val="24"/>
        </w:rPr>
        <w:t>-</w:t>
      </w:r>
      <w:r w:rsidRPr="001C777D">
        <w:rPr>
          <w:sz w:val="24"/>
          <w:szCs w:val="24"/>
        </w:rPr>
        <w:tab/>
        <w:t xml:space="preserve">zajištění veškeré nezbytné přepravy, vyložení, svislé dopravy, zabudování, ochrany, </w:t>
      </w:r>
      <w:r w:rsidRPr="001C777D">
        <w:rPr>
          <w:sz w:val="24"/>
          <w:szCs w:val="24"/>
        </w:rPr>
        <w:tab/>
        <w:t xml:space="preserve">potřebných pracovních sil a materiálů, řízení prací, lešení, výrobních prostor a jiných </w:t>
      </w:r>
      <w:r w:rsidRPr="001C777D">
        <w:rPr>
          <w:sz w:val="24"/>
          <w:szCs w:val="24"/>
        </w:rPr>
        <w:tab/>
        <w:t>dočasných prací, které jsou zapotřebí k řádnému provedení a předání předmětu díla</w:t>
      </w:r>
      <w:r w:rsidR="00D4326C">
        <w:rPr>
          <w:sz w:val="24"/>
          <w:szCs w:val="24"/>
        </w:rPr>
        <w:t xml:space="preserve">, </w:t>
      </w:r>
      <w:r w:rsidR="00D4326C">
        <w:rPr>
          <w:sz w:val="24"/>
          <w:szCs w:val="24"/>
        </w:rPr>
        <w:tab/>
        <w:t>realizace</w:t>
      </w:r>
      <w:r w:rsidRPr="001C777D">
        <w:rPr>
          <w:sz w:val="24"/>
          <w:szCs w:val="24"/>
        </w:rPr>
        <w:t xml:space="preserve"> všech předepsaných zkoušek a revizí, vypracování</w:t>
      </w:r>
      <w:r w:rsidR="00D4326C">
        <w:rPr>
          <w:sz w:val="24"/>
          <w:szCs w:val="24"/>
        </w:rPr>
        <w:t xml:space="preserve"> </w:t>
      </w:r>
      <w:r w:rsidRPr="001C777D">
        <w:rPr>
          <w:sz w:val="24"/>
          <w:szCs w:val="24"/>
        </w:rPr>
        <w:t>dokumentace</w:t>
      </w:r>
      <w:r w:rsidR="00D4326C">
        <w:rPr>
          <w:sz w:val="24"/>
          <w:szCs w:val="24"/>
        </w:rPr>
        <w:t xml:space="preserve"> </w:t>
      </w:r>
      <w:r w:rsidRPr="001C777D">
        <w:rPr>
          <w:sz w:val="24"/>
          <w:szCs w:val="24"/>
        </w:rPr>
        <w:t xml:space="preserve">skutečného </w:t>
      </w:r>
      <w:r w:rsidR="00CF6A6F">
        <w:rPr>
          <w:sz w:val="24"/>
          <w:szCs w:val="24"/>
        </w:rPr>
        <w:tab/>
        <w:t>provedení,</w:t>
      </w:r>
      <w:r w:rsidRPr="001C777D">
        <w:rPr>
          <w:sz w:val="24"/>
          <w:szCs w:val="24"/>
        </w:rPr>
        <w:t xml:space="preserve"> </w:t>
      </w:r>
    </w:p>
    <w:p w:rsidR="002B17D2" w:rsidRDefault="003B5DA6" w:rsidP="002B17D2">
      <w:pPr>
        <w:tabs>
          <w:tab w:val="left" w:pos="567"/>
          <w:tab w:val="left" w:pos="1800"/>
          <w:tab w:val="left" w:pos="4140"/>
          <w:tab w:val="left" w:pos="5940"/>
        </w:tabs>
        <w:jc w:val="both"/>
        <w:rPr>
          <w:sz w:val="24"/>
          <w:szCs w:val="24"/>
        </w:rPr>
      </w:pPr>
      <w:r w:rsidRPr="001C777D">
        <w:rPr>
          <w:sz w:val="24"/>
          <w:szCs w:val="24"/>
        </w:rPr>
        <w:t>-</w:t>
      </w:r>
      <w:r w:rsidRPr="001C777D">
        <w:rPr>
          <w:sz w:val="24"/>
          <w:szCs w:val="24"/>
        </w:rPr>
        <w:tab/>
        <w:t xml:space="preserve">práce budou prováděny za provozu ubytovny, dle odsouhlaseného harmonogramu s </w:t>
      </w:r>
      <w:r w:rsidR="00CF6A6F">
        <w:rPr>
          <w:sz w:val="24"/>
          <w:szCs w:val="24"/>
        </w:rPr>
        <w:tab/>
        <w:t>provozním pracovníkem ubytovny,</w:t>
      </w:r>
    </w:p>
    <w:p w:rsidR="003B5DA6" w:rsidRDefault="003B5DA6" w:rsidP="002B17D2">
      <w:pPr>
        <w:tabs>
          <w:tab w:val="left" w:pos="567"/>
          <w:tab w:val="left" w:pos="1800"/>
          <w:tab w:val="left" w:pos="4140"/>
          <w:tab w:val="left" w:pos="5940"/>
        </w:tabs>
        <w:jc w:val="both"/>
        <w:rPr>
          <w:sz w:val="24"/>
          <w:szCs w:val="24"/>
        </w:rPr>
      </w:pPr>
      <w:r w:rsidRPr="001C777D">
        <w:rPr>
          <w:sz w:val="24"/>
          <w:szCs w:val="24"/>
        </w:rPr>
        <w:t>-</w:t>
      </w:r>
      <w:r w:rsidRPr="001C777D">
        <w:rPr>
          <w:sz w:val="24"/>
          <w:szCs w:val="24"/>
        </w:rPr>
        <w:tab/>
        <w:t xml:space="preserve">součástí realizace díla je průběžný a závěrečný úklid, odvoz a ekologická likvidace </w:t>
      </w:r>
      <w:r w:rsidRPr="001C777D">
        <w:rPr>
          <w:sz w:val="24"/>
          <w:szCs w:val="24"/>
        </w:rPr>
        <w:tab/>
        <w:t>demontovaného materiálu včetně uložení na skl</w:t>
      </w:r>
      <w:r w:rsidR="00CF6A6F">
        <w:rPr>
          <w:sz w:val="24"/>
          <w:szCs w:val="24"/>
        </w:rPr>
        <w:t>ádku, doklad o likvidaci odpadu,</w:t>
      </w:r>
      <w:r w:rsidRPr="001C777D">
        <w:rPr>
          <w:sz w:val="24"/>
          <w:szCs w:val="24"/>
        </w:rPr>
        <w:t xml:space="preserve"> </w:t>
      </w:r>
    </w:p>
    <w:p w:rsidR="003B5DA6" w:rsidRPr="001C777D" w:rsidRDefault="003B5DA6" w:rsidP="002B17D2">
      <w:pPr>
        <w:pStyle w:val="Odstavecseseznamem"/>
        <w:tabs>
          <w:tab w:val="left" w:pos="567"/>
        </w:tabs>
        <w:spacing w:line="240" w:lineRule="auto"/>
        <w:ind w:left="0"/>
        <w:jc w:val="both"/>
        <w:rPr>
          <w:sz w:val="24"/>
          <w:szCs w:val="24"/>
        </w:rPr>
      </w:pPr>
      <w:r w:rsidRPr="001C777D">
        <w:rPr>
          <w:sz w:val="24"/>
          <w:szCs w:val="24"/>
        </w:rPr>
        <w:t>-</w:t>
      </w:r>
      <w:r w:rsidRPr="001C777D">
        <w:rPr>
          <w:sz w:val="24"/>
          <w:szCs w:val="24"/>
        </w:rPr>
        <w:tab/>
      </w:r>
      <w:r w:rsidRPr="002B17D2">
        <w:rPr>
          <w:rFonts w:ascii="Times New Roman" w:hAnsi="Times New Roman"/>
          <w:sz w:val="24"/>
          <w:szCs w:val="24"/>
        </w:rPr>
        <w:t xml:space="preserve">realizace díla bude provedena v souladu s platnými technickými normami, které jsou pro </w:t>
      </w:r>
      <w:r w:rsidR="002B17D2" w:rsidRPr="002B17D2">
        <w:rPr>
          <w:rFonts w:ascii="Times New Roman" w:hAnsi="Times New Roman"/>
          <w:sz w:val="24"/>
          <w:szCs w:val="24"/>
        </w:rPr>
        <w:tab/>
      </w:r>
      <w:r w:rsidRPr="002B17D2">
        <w:rPr>
          <w:rFonts w:ascii="Times New Roman" w:hAnsi="Times New Roman"/>
          <w:sz w:val="24"/>
          <w:szCs w:val="24"/>
        </w:rPr>
        <w:t>uvedený</w:t>
      </w:r>
      <w:r w:rsidR="00CF6A6F">
        <w:rPr>
          <w:rFonts w:ascii="Times New Roman" w:hAnsi="Times New Roman"/>
          <w:sz w:val="24"/>
          <w:szCs w:val="24"/>
        </w:rPr>
        <w:t xml:space="preserve"> </w:t>
      </w:r>
      <w:r w:rsidRPr="002B17D2">
        <w:rPr>
          <w:rFonts w:ascii="Times New Roman" w:hAnsi="Times New Roman"/>
          <w:sz w:val="24"/>
          <w:szCs w:val="24"/>
        </w:rPr>
        <w:t xml:space="preserve"> předmět </w:t>
      </w:r>
      <w:r w:rsidR="00CF6A6F">
        <w:rPr>
          <w:rFonts w:ascii="Times New Roman" w:hAnsi="Times New Roman"/>
          <w:sz w:val="24"/>
          <w:szCs w:val="24"/>
        </w:rPr>
        <w:t xml:space="preserve"> </w:t>
      </w:r>
      <w:r w:rsidRPr="002B17D2">
        <w:rPr>
          <w:rFonts w:ascii="Times New Roman" w:hAnsi="Times New Roman"/>
          <w:sz w:val="24"/>
          <w:szCs w:val="24"/>
        </w:rPr>
        <w:t xml:space="preserve">díla </w:t>
      </w:r>
      <w:r w:rsidR="00CF6A6F">
        <w:rPr>
          <w:rFonts w:ascii="Times New Roman" w:hAnsi="Times New Roman"/>
          <w:sz w:val="24"/>
          <w:szCs w:val="24"/>
        </w:rPr>
        <w:t xml:space="preserve"> </w:t>
      </w:r>
      <w:r w:rsidRPr="002B17D2">
        <w:rPr>
          <w:rFonts w:ascii="Times New Roman" w:hAnsi="Times New Roman"/>
          <w:sz w:val="24"/>
          <w:szCs w:val="24"/>
        </w:rPr>
        <w:t xml:space="preserve">závazné, </w:t>
      </w:r>
      <w:r w:rsidR="00CF6A6F">
        <w:rPr>
          <w:rFonts w:ascii="Times New Roman" w:hAnsi="Times New Roman"/>
          <w:sz w:val="24"/>
          <w:szCs w:val="24"/>
        </w:rPr>
        <w:t xml:space="preserve"> </w:t>
      </w:r>
      <w:r w:rsidRPr="002B17D2">
        <w:rPr>
          <w:rFonts w:ascii="Times New Roman" w:hAnsi="Times New Roman"/>
          <w:sz w:val="24"/>
          <w:szCs w:val="24"/>
        </w:rPr>
        <w:t xml:space="preserve">dílo bude zhotoveno v nejvyšší kvalitě a dodávky </w:t>
      </w:r>
      <w:r w:rsidRPr="002B17D2">
        <w:rPr>
          <w:rFonts w:ascii="Times New Roman" w:hAnsi="Times New Roman"/>
          <w:sz w:val="24"/>
          <w:szCs w:val="24"/>
        </w:rPr>
        <w:tab/>
        <w:t>materiálu budou v první jakostní třídě.</w:t>
      </w:r>
    </w:p>
    <w:p w:rsidR="003B5DA6" w:rsidRDefault="003B5DA6" w:rsidP="004B0470">
      <w:pPr>
        <w:tabs>
          <w:tab w:val="left" w:pos="567"/>
          <w:tab w:val="left" w:pos="1800"/>
          <w:tab w:val="left" w:pos="4140"/>
          <w:tab w:val="left" w:pos="5940"/>
        </w:tabs>
        <w:rPr>
          <w:sz w:val="24"/>
          <w:szCs w:val="24"/>
        </w:rPr>
      </w:pPr>
      <w:r w:rsidRPr="001C777D">
        <w:rPr>
          <w:sz w:val="24"/>
          <w:szCs w:val="24"/>
        </w:rPr>
        <w:tab/>
      </w:r>
      <w:r w:rsidRPr="004B0470">
        <w:rPr>
          <w:sz w:val="24"/>
          <w:szCs w:val="24"/>
        </w:rPr>
        <w:t>Objednatel nepřipouští variantní řešení.</w:t>
      </w:r>
    </w:p>
    <w:p w:rsidR="004B0470" w:rsidRPr="004B0470" w:rsidRDefault="004B0470" w:rsidP="004B0470">
      <w:pPr>
        <w:tabs>
          <w:tab w:val="left" w:pos="567"/>
          <w:tab w:val="left" w:pos="1800"/>
          <w:tab w:val="left" w:pos="4140"/>
          <w:tab w:val="left" w:pos="5940"/>
        </w:tabs>
        <w:rPr>
          <w:sz w:val="24"/>
          <w:szCs w:val="24"/>
        </w:rPr>
      </w:pPr>
    </w:p>
    <w:p w:rsidR="00AE2642" w:rsidRPr="00095FDB" w:rsidRDefault="003B5DA6" w:rsidP="002E7917">
      <w:pPr>
        <w:shd w:val="clear" w:color="00FFFF" w:fill="auto"/>
        <w:spacing w:beforeLines="20" w:before="48" w:after="120"/>
        <w:jc w:val="center"/>
        <w:rPr>
          <w:b/>
          <w:sz w:val="24"/>
          <w:u w:val="single"/>
        </w:rPr>
      </w:pPr>
      <w:r>
        <w:rPr>
          <w:b/>
          <w:caps/>
          <w:sz w:val="24"/>
          <w:szCs w:val="24"/>
          <w:u w:val="single"/>
        </w:rPr>
        <w:t xml:space="preserve"> </w:t>
      </w:r>
      <w:r w:rsidR="00F866AD"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A8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00847A8F">
        <w:rPr>
          <w:rFonts w:ascii="Times New Roman" w:hAnsi="Times New Roman"/>
          <w:i w:val="0"/>
          <w:sz w:val="24"/>
          <w:szCs w:val="24"/>
        </w:rPr>
        <w:tab/>
      </w:r>
      <w:r w:rsidR="00847A8F" w:rsidRPr="00847A8F">
        <w:rPr>
          <w:rFonts w:ascii="Times New Roman" w:hAnsi="Times New Roman"/>
          <w:b/>
          <w:i w:val="0"/>
          <w:sz w:val="24"/>
          <w:szCs w:val="24"/>
        </w:rPr>
        <w:t xml:space="preserve">       4. 1. 2016</w:t>
      </w:r>
      <w:r w:rsidRPr="00847A8F">
        <w:rPr>
          <w:rFonts w:ascii="Times New Roman" w:hAnsi="Times New Roman"/>
          <w:b/>
          <w:i w:val="0"/>
          <w:sz w:val="24"/>
          <w:szCs w:val="24"/>
        </w:rPr>
        <w:t xml:space="preserve"> </w:t>
      </w:r>
    </w:p>
    <w:p w:rsidR="008472DF" w:rsidRPr="00847A8F" w:rsidRDefault="008472DF" w:rsidP="008472DF">
      <w:pPr>
        <w:rPr>
          <w:b/>
          <w:sz w:val="24"/>
          <w:szCs w:val="24"/>
        </w:rPr>
      </w:pPr>
    </w:p>
    <w:p w:rsidR="00847A8F" w:rsidRPr="00847A8F" w:rsidRDefault="008472DF" w:rsidP="00BB5A8E">
      <w:pPr>
        <w:rPr>
          <w:b/>
          <w:sz w:val="24"/>
          <w:szCs w:val="24"/>
        </w:rPr>
      </w:pPr>
      <w:r w:rsidRPr="00847A8F">
        <w:rPr>
          <w:sz w:val="24"/>
          <w:szCs w:val="24"/>
        </w:rPr>
        <w:t>Termín realizace díla:</w:t>
      </w:r>
      <w:r w:rsidRPr="00847A8F">
        <w:rPr>
          <w:b/>
          <w:sz w:val="24"/>
          <w:szCs w:val="24"/>
        </w:rPr>
        <w:t xml:space="preserve">    </w:t>
      </w:r>
      <w:r w:rsidR="00847A8F" w:rsidRPr="00847A8F">
        <w:rPr>
          <w:b/>
          <w:sz w:val="24"/>
          <w:szCs w:val="24"/>
        </w:rPr>
        <w:tab/>
      </w:r>
      <w:r w:rsidR="00847A8F" w:rsidRPr="00847A8F">
        <w:rPr>
          <w:b/>
          <w:sz w:val="24"/>
          <w:szCs w:val="24"/>
        </w:rPr>
        <w:tab/>
      </w:r>
      <w:r w:rsidR="00847A8F" w:rsidRPr="00847A8F">
        <w:rPr>
          <w:b/>
          <w:sz w:val="24"/>
          <w:szCs w:val="24"/>
        </w:rPr>
        <w:tab/>
      </w:r>
      <w:r w:rsidR="00847A8F" w:rsidRPr="00847A8F">
        <w:rPr>
          <w:b/>
          <w:sz w:val="24"/>
          <w:szCs w:val="24"/>
        </w:rPr>
        <w:tab/>
      </w:r>
      <w:r w:rsidR="00847A8F" w:rsidRPr="00847A8F">
        <w:rPr>
          <w:b/>
          <w:sz w:val="24"/>
          <w:szCs w:val="24"/>
        </w:rPr>
        <w:tab/>
        <w:t xml:space="preserve">     </w:t>
      </w:r>
      <w:r w:rsidR="00847A8F" w:rsidRPr="00847A8F">
        <w:rPr>
          <w:b/>
          <w:sz w:val="24"/>
          <w:szCs w:val="24"/>
        </w:rPr>
        <w:tab/>
        <w:t>do 31. 3. 2016</w:t>
      </w:r>
    </w:p>
    <w:p w:rsidR="00847A8F" w:rsidRDefault="00847A8F" w:rsidP="00BB5A8E">
      <w:pPr>
        <w:rPr>
          <w:sz w:val="24"/>
          <w:szCs w:val="24"/>
        </w:rPr>
      </w:pPr>
    </w:p>
    <w:p w:rsidR="00847A8F" w:rsidRPr="00BB5C56" w:rsidRDefault="00847A8F" w:rsidP="00847A8F">
      <w:pPr>
        <w:rPr>
          <w:b/>
          <w:sz w:val="24"/>
          <w:szCs w:val="24"/>
        </w:rPr>
      </w:pPr>
      <w:r w:rsidRPr="00BB5C56">
        <w:rPr>
          <w:sz w:val="24"/>
          <w:szCs w:val="24"/>
        </w:rPr>
        <w:t>Zajištění kolaudačního souhlasu</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sidRPr="00BB5C56">
        <w:rPr>
          <w:b/>
          <w:sz w:val="24"/>
          <w:szCs w:val="24"/>
        </w:rPr>
        <w:t>do</w:t>
      </w:r>
      <w:r>
        <w:rPr>
          <w:b/>
          <w:sz w:val="24"/>
          <w:szCs w:val="24"/>
        </w:rPr>
        <w:t xml:space="preserve"> 31. 5. 2016</w:t>
      </w:r>
      <w:r w:rsidRPr="00BB5C56">
        <w:rPr>
          <w:b/>
          <w:sz w:val="24"/>
          <w:szCs w:val="24"/>
        </w:rPr>
        <w:t xml:space="preserve">        </w:t>
      </w:r>
    </w:p>
    <w:p w:rsidR="00BB5A8E" w:rsidRPr="00BB5A8E" w:rsidRDefault="00847A8F" w:rsidP="00BB5A8E">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B5A8E" w:rsidRPr="00BB5A8E" w:rsidRDefault="00BB5A8E" w:rsidP="00BB5A8E">
      <w:pPr>
        <w:jc w:val="both"/>
        <w:rPr>
          <w:sz w:val="24"/>
          <w:szCs w:val="24"/>
        </w:rPr>
      </w:pPr>
      <w:r w:rsidRPr="00BB5A8E">
        <w:rPr>
          <w:sz w:val="24"/>
          <w:szCs w:val="24"/>
          <w:u w:val="single"/>
        </w:rPr>
        <w:t>Místem plnění je:</w:t>
      </w:r>
      <w:r w:rsidRPr="00BB5A8E">
        <w:rPr>
          <w:sz w:val="24"/>
          <w:szCs w:val="24"/>
        </w:rPr>
        <w:t xml:space="preserve"> </w:t>
      </w:r>
      <w:r w:rsidR="005034B4">
        <w:rPr>
          <w:sz w:val="24"/>
          <w:szCs w:val="24"/>
        </w:rPr>
        <w:t xml:space="preserve"> VUZ Podbaba - P</w:t>
      </w:r>
      <w:r w:rsidR="004B0470">
        <w:rPr>
          <w:sz w:val="24"/>
          <w:szCs w:val="24"/>
        </w:rPr>
        <w:t>odbabská</w:t>
      </w:r>
      <w:r w:rsidR="005034B4">
        <w:rPr>
          <w:sz w:val="24"/>
          <w:szCs w:val="24"/>
        </w:rPr>
        <w:t xml:space="preserve"> </w:t>
      </w:r>
      <w:r w:rsidR="003807E7">
        <w:rPr>
          <w:sz w:val="24"/>
          <w:szCs w:val="24"/>
        </w:rPr>
        <w:t>1589/1, Praha 6 - Dejvice</w:t>
      </w:r>
    </w:p>
    <w:p w:rsidR="00654A49" w:rsidRPr="004C684F" w:rsidRDefault="00654A49" w:rsidP="00406998">
      <w:pPr>
        <w:rPr>
          <w:bCs/>
          <w:color w:val="000000"/>
          <w:sz w:val="24"/>
          <w:szCs w:val="24"/>
        </w:rPr>
      </w:pP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00D0571B">
        <w:rPr>
          <w:sz w:val="24"/>
        </w:rPr>
        <w:t xml:space="preserve"> </w:t>
      </w:r>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u w:val="single"/>
        </w:rPr>
      </w:pPr>
    </w:p>
    <w:p w:rsidR="009A3F58" w:rsidRPr="00756BB0" w:rsidRDefault="00005C18" w:rsidP="00B46B1D">
      <w:pPr>
        <w:tabs>
          <w:tab w:val="left" w:pos="1080"/>
          <w:tab w:val="right" w:pos="7740"/>
        </w:tabs>
        <w:jc w:val="both"/>
        <w:rPr>
          <w:sz w:val="24"/>
        </w:rPr>
      </w:pPr>
      <w:r>
        <w:rPr>
          <w:sz w:val="24"/>
        </w:rPr>
        <w:tab/>
      </w:r>
      <w:r w:rsidR="00567722">
        <w:rPr>
          <w:sz w:val="24"/>
        </w:rPr>
        <w:t xml:space="preserve">  </w:t>
      </w:r>
      <w:r w:rsidR="009A3F58" w:rsidRPr="00566F27">
        <w:rPr>
          <w:sz w:val="24"/>
        </w:rPr>
        <w:t>slovy:</w:t>
      </w:r>
      <w:r w:rsidR="009A3F58" w:rsidRPr="00566F27">
        <w:rPr>
          <w:sz w:val="24"/>
        </w:rPr>
        <w:tab/>
        <w:t>„</w:t>
      </w:r>
      <w:r w:rsidR="009A3F58">
        <w:rPr>
          <w:sz w:val="24"/>
          <w:highlight w:val="yellow"/>
        </w:rPr>
        <w:t>…………………</w:t>
      </w:r>
      <w:r w:rsidR="009A3F58" w:rsidRPr="00B77993">
        <w:rPr>
          <w:sz w:val="24"/>
          <w:highlight w:val="yellow"/>
        </w:rPr>
        <w:t>………………………………………..</w:t>
      </w:r>
      <w:r w:rsidR="009A3F58" w:rsidRPr="00566F27">
        <w:rPr>
          <w:sz w:val="24"/>
        </w:rPr>
        <w:t>korunčeských“</w:t>
      </w: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4A77BD" w:rsidRDefault="00F866AD" w:rsidP="004A77BD">
      <w:pPr>
        <w:spacing w:beforeLines="20" w:before="48" w:after="120"/>
        <w:jc w:val="center"/>
        <w:rPr>
          <w:b/>
          <w:caps/>
          <w:sz w:val="24"/>
          <w:u w:val="single"/>
        </w:rPr>
      </w:pPr>
      <w:r w:rsidRPr="00095FDB">
        <w:rPr>
          <w:b/>
          <w:caps/>
          <w:sz w:val="24"/>
          <w:u w:val="single"/>
        </w:rPr>
        <w:lastRenderedPageBreak/>
        <w:t xml:space="preserve">IV. </w:t>
      </w:r>
      <w:r w:rsidR="00AE2642" w:rsidRPr="00095FDB">
        <w:rPr>
          <w:b/>
          <w:caps/>
          <w:sz w:val="24"/>
          <w:u w:val="single"/>
        </w:rPr>
        <w:t>platební a fakturační podmínky</w:t>
      </w:r>
    </w:p>
    <w:p w:rsidR="00523774" w:rsidRDefault="00523774" w:rsidP="004A77BD">
      <w:pPr>
        <w:spacing w:beforeLines="20" w:before="48" w:after="120"/>
        <w:jc w:val="center"/>
        <w:rPr>
          <w:b/>
          <w:caps/>
          <w:sz w:val="24"/>
          <w:u w:val="single"/>
        </w:rPr>
      </w:pPr>
    </w:p>
    <w:p w:rsidR="00523774" w:rsidRDefault="00523774" w:rsidP="00523774">
      <w:pPr>
        <w:numPr>
          <w:ilvl w:val="0"/>
          <w:numId w:val="2"/>
        </w:numPr>
        <w:tabs>
          <w:tab w:val="left" w:pos="0"/>
        </w:tabs>
        <w:spacing w:before="100" w:beforeAutospacing="1" w:after="120"/>
        <w:jc w:val="both"/>
        <w:rPr>
          <w:sz w:val="24"/>
        </w:rPr>
      </w:pPr>
      <w:r w:rsidRPr="00095FDB">
        <w:rPr>
          <w:sz w:val="24"/>
        </w:rPr>
        <w:t>Objednatel zálohy neposkytuje.</w:t>
      </w:r>
    </w:p>
    <w:p w:rsidR="00005C18" w:rsidRDefault="00740F6A" w:rsidP="003A5E29">
      <w:pPr>
        <w:pStyle w:val="Odstavecseseznamem"/>
        <w:numPr>
          <w:ilvl w:val="0"/>
          <w:numId w:val="2"/>
        </w:numPr>
        <w:spacing w:after="120"/>
        <w:jc w:val="both"/>
        <w:rPr>
          <w:rFonts w:ascii="Times New Roman" w:hAnsi="Times New Roman"/>
          <w:sz w:val="24"/>
          <w:szCs w:val="24"/>
        </w:rPr>
      </w:pPr>
      <w:r w:rsidRPr="00740F6A">
        <w:rPr>
          <w:rFonts w:ascii="Times New Roman" w:hAnsi="Times New Roman"/>
          <w:sz w:val="24"/>
          <w:szCs w:val="24"/>
        </w:rPr>
        <w:t xml:space="preserve">Objednatel bude cenu díla platit na základě dílčích daňových dokladů a konečného daňového dokladu, jež budou vystaveny v souladu s ust. § 11 </w:t>
      </w:r>
      <w:r w:rsidR="003807E7" w:rsidRPr="00740F6A">
        <w:rPr>
          <w:rFonts w:ascii="Times New Roman" w:hAnsi="Times New Roman"/>
          <w:sz w:val="24"/>
          <w:szCs w:val="24"/>
        </w:rPr>
        <w:t>odst. 1 zákona</w:t>
      </w:r>
      <w:r w:rsidRPr="00740F6A">
        <w:rPr>
          <w:rFonts w:ascii="Times New Roman" w:hAnsi="Times New Roman"/>
          <w:sz w:val="24"/>
          <w:szCs w:val="24"/>
        </w:rPr>
        <w:t xml:space="preserve"> 563/1991 o účetnictví, ve znění pozdějších předpisů (náležitosti účetních dokladů). Konečný daňový doklad dále musí obsahovat mimo </w:t>
      </w:r>
      <w:r w:rsidR="003807E7" w:rsidRPr="00740F6A">
        <w:rPr>
          <w:rFonts w:ascii="Times New Roman" w:hAnsi="Times New Roman"/>
          <w:sz w:val="24"/>
          <w:szCs w:val="24"/>
        </w:rPr>
        <w:t>jiné i fakturovanou</w:t>
      </w:r>
      <w:r w:rsidRPr="00740F6A">
        <w:rPr>
          <w:rFonts w:ascii="Times New Roman" w:hAnsi="Times New Roman"/>
          <w:sz w:val="24"/>
          <w:szCs w:val="24"/>
        </w:rPr>
        <w:t xml:space="preserve"> částku s odečtením finančního plnění na základě dílčích daňových dokladů </w:t>
      </w:r>
      <w:r w:rsidR="003807E7" w:rsidRPr="00740F6A">
        <w:rPr>
          <w:rFonts w:ascii="Times New Roman" w:hAnsi="Times New Roman"/>
          <w:sz w:val="24"/>
          <w:szCs w:val="24"/>
        </w:rPr>
        <w:t>zhotovitele a její</w:t>
      </w:r>
      <w:r w:rsidRPr="00740F6A">
        <w:rPr>
          <w:rFonts w:ascii="Times New Roman" w:hAnsi="Times New Roman"/>
          <w:sz w:val="24"/>
          <w:szCs w:val="24"/>
        </w:rPr>
        <w:t xml:space="preserve"> přílohou bude soupis všech odsouhlasených dílčích daňových dokladů.</w:t>
      </w:r>
    </w:p>
    <w:p w:rsidR="006B1E85" w:rsidRDefault="00550AF5" w:rsidP="00060C85">
      <w:pPr>
        <w:pStyle w:val="Odstavecseseznamem"/>
        <w:numPr>
          <w:ilvl w:val="0"/>
          <w:numId w:val="2"/>
        </w:numPr>
        <w:spacing w:after="120"/>
        <w:jc w:val="both"/>
        <w:rPr>
          <w:rFonts w:ascii="Times New Roman" w:hAnsi="Times New Roman"/>
          <w:sz w:val="24"/>
          <w:szCs w:val="24"/>
        </w:rPr>
      </w:pPr>
      <w:r w:rsidRPr="00550AF5">
        <w:rPr>
          <w:rFonts w:ascii="Times New Roman" w:hAnsi="Times New Roman"/>
          <w:sz w:val="24"/>
          <w:szCs w:val="24"/>
        </w:rPr>
        <w:t xml:space="preserve">Celkové zdanitelné plnění se považuje za uskutečněné dnem protokolárního převzetí celého díla objednavatelem. Zhotovitel je povinen nejpozději </w:t>
      </w:r>
      <w:r w:rsidRPr="00550AF5">
        <w:rPr>
          <w:rFonts w:ascii="Times New Roman" w:hAnsi="Times New Roman"/>
          <w:b/>
          <w:sz w:val="24"/>
          <w:szCs w:val="24"/>
        </w:rPr>
        <w:t>do 10 dnů</w:t>
      </w:r>
      <w:r w:rsidRPr="00550AF5">
        <w:rPr>
          <w:rFonts w:ascii="Times New Roman" w:hAnsi="Times New Roman"/>
          <w:sz w:val="24"/>
          <w:szCs w:val="24"/>
        </w:rPr>
        <w:t xml:space="preserve"> od uskutečnění celkového zdanitelného plnění vystavit daňový doklad (dále jen „konečná faktura“). Podkladem pro vystavení  konečné  faktury je oprávněnými  zástupci  smluvních  stran  podepsaný  Protokol  o předání a převzetí díla, jakož i soupis provedených prací jednotlivých částí díla, jehož součástí bude písemné potvrzení provedených prací technickým dozorem objednavatele a zástupcem objednavatele.</w:t>
      </w:r>
    </w:p>
    <w:p w:rsidR="00170D81" w:rsidRPr="00170D81" w:rsidRDefault="00170D81" w:rsidP="00170D81">
      <w:pPr>
        <w:pStyle w:val="Odstavecseseznamem"/>
        <w:numPr>
          <w:ilvl w:val="0"/>
          <w:numId w:val="2"/>
        </w:numPr>
        <w:tabs>
          <w:tab w:val="left" w:pos="0"/>
        </w:tabs>
        <w:spacing w:beforeLines="20" w:before="48"/>
        <w:jc w:val="both"/>
        <w:rPr>
          <w:bCs/>
          <w:sz w:val="24"/>
        </w:rPr>
      </w:pPr>
      <w:r w:rsidRPr="008C5F4E">
        <w:rPr>
          <w:rFonts w:ascii="Times New Roman" w:hAnsi="Times New Roman"/>
          <w:sz w:val="24"/>
          <w:szCs w:val="24"/>
        </w:rPr>
        <w:t xml:space="preserve">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w:t>
      </w:r>
    </w:p>
    <w:p w:rsidR="00170D81" w:rsidRDefault="00170D81" w:rsidP="00170D81">
      <w:pPr>
        <w:pStyle w:val="Odstavecseseznamem"/>
        <w:numPr>
          <w:ilvl w:val="0"/>
          <w:numId w:val="2"/>
        </w:numPr>
        <w:spacing w:after="120"/>
        <w:jc w:val="both"/>
        <w:rPr>
          <w:rFonts w:ascii="Times New Roman" w:hAnsi="Times New Roman"/>
          <w:sz w:val="24"/>
          <w:szCs w:val="24"/>
        </w:rPr>
      </w:pPr>
      <w:r>
        <w:rPr>
          <w:rFonts w:ascii="Times New Roman" w:hAnsi="Times New Roman"/>
          <w:sz w:val="24"/>
          <w:szCs w:val="24"/>
        </w:rPr>
        <w:t>Faktury</w:t>
      </w:r>
      <w:r w:rsidRPr="00005C18">
        <w:rPr>
          <w:rFonts w:ascii="Times New Roman" w:hAnsi="Times New Roman"/>
          <w:sz w:val="24"/>
          <w:szCs w:val="24"/>
        </w:rPr>
        <w:t xml:space="preserve"> budou propláceny až do výše max</w:t>
      </w:r>
      <w:r>
        <w:rPr>
          <w:rFonts w:ascii="Times New Roman" w:hAnsi="Times New Roman"/>
          <w:sz w:val="24"/>
          <w:szCs w:val="24"/>
        </w:rPr>
        <w:t>.</w:t>
      </w:r>
      <w:r w:rsidRPr="00005C18">
        <w:rPr>
          <w:rFonts w:ascii="Times New Roman" w:hAnsi="Times New Roman"/>
          <w:sz w:val="24"/>
          <w:szCs w:val="24"/>
        </w:rPr>
        <w:t xml:space="preserve"> 90 % celkové ceny díla, zbývající finanční objem ve výši minimálně 10 % celkové ceny díla bude uhrazen po vydání kolaudačního souhlasu, odstranění případných vad a nedodělků, předání Závěrečného předávacího protokolu. </w:t>
      </w:r>
    </w:p>
    <w:p w:rsidR="00FC04EA" w:rsidRDefault="00170D81" w:rsidP="00D12296">
      <w:pPr>
        <w:numPr>
          <w:ilvl w:val="0"/>
          <w:numId w:val="2"/>
        </w:numPr>
        <w:tabs>
          <w:tab w:val="left" w:pos="0"/>
        </w:tabs>
        <w:spacing w:beforeLines="20" w:before="48"/>
        <w:jc w:val="both"/>
        <w:rPr>
          <w:bCs/>
          <w:sz w:val="24"/>
        </w:rPr>
      </w:pPr>
      <w:r w:rsidRPr="00FC04EA">
        <w:rPr>
          <w:bCs/>
          <w:sz w:val="24"/>
        </w:rPr>
        <w:t>Daňový doklad musí obsahovat údaje podle zákona č. 235/2004 Sb., o dani z přidané hodnoty, ve znění pozdějších předpisů, včetně uvedení klasifikace CZ-CPA, a dále údaje pro účely stanovení režimu přenesené daňové povinnosti v souladu s § 92a zákona.</w:t>
      </w:r>
    </w:p>
    <w:p w:rsidR="007B4969" w:rsidRPr="00FC04EA" w:rsidRDefault="007B4969" w:rsidP="007B4969">
      <w:pPr>
        <w:tabs>
          <w:tab w:val="left" w:pos="0"/>
        </w:tabs>
        <w:spacing w:beforeLines="20" w:before="48"/>
        <w:jc w:val="both"/>
        <w:rPr>
          <w:bCs/>
          <w:sz w:val="24"/>
        </w:rPr>
      </w:pP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4428A" w:rsidRPr="00EF2D89" w:rsidRDefault="00A4428A" w:rsidP="00A4428A">
      <w:pPr>
        <w:pStyle w:val="Odstavecseseznamem"/>
        <w:numPr>
          <w:ilvl w:val="0"/>
          <w:numId w:val="2"/>
        </w:numPr>
        <w:tabs>
          <w:tab w:val="left" w:pos="0"/>
        </w:tabs>
        <w:spacing w:before="120" w:after="120"/>
        <w:jc w:val="both"/>
        <w:rPr>
          <w:rFonts w:ascii="Times New Roman" w:hAnsi="Times New Roman"/>
          <w:sz w:val="24"/>
          <w:szCs w:val="24"/>
        </w:rPr>
      </w:pPr>
      <w:r w:rsidRPr="00A4428A">
        <w:rPr>
          <w:rFonts w:ascii="Times New Roman" w:hAnsi="Times New Roman"/>
          <w:sz w:val="24"/>
          <w:szCs w:val="24"/>
        </w:rPr>
        <w:t xml:space="preserve">Lhůta splatnosti faktury je </w:t>
      </w:r>
      <w:r w:rsidRPr="00A4428A">
        <w:rPr>
          <w:rFonts w:ascii="Times New Roman" w:hAnsi="Times New Roman"/>
          <w:b/>
          <w:sz w:val="24"/>
          <w:szCs w:val="24"/>
        </w:rPr>
        <w:t>30 dnů</w:t>
      </w:r>
      <w:r w:rsidRPr="00A4428A">
        <w:rPr>
          <w:rFonts w:ascii="Times New Roman" w:hAnsi="Times New Roman"/>
          <w:sz w:val="24"/>
          <w:szCs w:val="24"/>
        </w:rPr>
        <w:t xml:space="preserve"> od</w:t>
      </w:r>
      <w:r w:rsidRPr="00A4428A">
        <w:rPr>
          <w:rFonts w:ascii="Times New Roman" w:hAnsi="Times New Roman"/>
          <w:color w:val="000000"/>
          <w:sz w:val="24"/>
          <w:szCs w:val="24"/>
        </w:rPr>
        <w:t xml:space="preserve"> doručení faktury objednateli. V případě, že zhotovitel uvede na dílčí nebo konečné faktuře den splatnosti, který nebude odpovídat 30-ti denní lhůtě po doručení objednateli, je objednatel oprávněn tuto dílčí nebo konečnou fakturu vrátit zpět zhotoviteli jako  neoprávněnou. Adresa pro zaslání faktury: </w:t>
      </w:r>
      <w:r w:rsidRPr="00A4428A">
        <w:rPr>
          <w:rFonts w:ascii="Times New Roman" w:hAnsi="Times New Roman"/>
          <w:b/>
          <w:caps/>
          <w:color w:val="000000"/>
          <w:sz w:val="24"/>
          <w:szCs w:val="24"/>
        </w:rPr>
        <w:t xml:space="preserve">ARMÁDNÍ SERVISNÍ, </w:t>
      </w:r>
      <w:r w:rsidRPr="00A4428A">
        <w:rPr>
          <w:rFonts w:ascii="Times New Roman" w:hAnsi="Times New Roman"/>
          <w:b/>
          <w:color w:val="000000"/>
          <w:sz w:val="24"/>
          <w:szCs w:val="24"/>
        </w:rPr>
        <w:t xml:space="preserve">příspěvková organizace, </w:t>
      </w:r>
      <w:r w:rsidRPr="00A4428A">
        <w:rPr>
          <w:rFonts w:ascii="Times New Roman" w:hAnsi="Times New Roman"/>
          <w:b/>
          <w:sz w:val="24"/>
          <w:szCs w:val="24"/>
        </w:rPr>
        <w:t>Podbabská 1589/1, 160 00 Praha 6 – Dejvice.</w:t>
      </w:r>
    </w:p>
    <w:p w:rsidR="00EF2D89" w:rsidRDefault="00EF2D89" w:rsidP="00EF2D89">
      <w:pPr>
        <w:pStyle w:val="Odstavecseseznamem"/>
        <w:tabs>
          <w:tab w:val="left" w:pos="0"/>
        </w:tabs>
        <w:spacing w:beforeLines="20" w:before="48" w:after="120"/>
        <w:ind w:left="851"/>
        <w:jc w:val="both"/>
        <w:rPr>
          <w:rFonts w:ascii="Times New Roman" w:hAnsi="Times New Roman"/>
        </w:rPr>
      </w:pPr>
    </w:p>
    <w:p w:rsidR="002D7F87" w:rsidRPr="00EF2D89" w:rsidRDefault="002D7F87" w:rsidP="00EF2D89">
      <w:pPr>
        <w:pStyle w:val="Odstavecseseznamem"/>
        <w:tabs>
          <w:tab w:val="left" w:pos="0"/>
        </w:tabs>
        <w:spacing w:beforeLines="20" w:before="48" w:after="120"/>
        <w:ind w:left="851"/>
        <w:jc w:val="both"/>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lastRenderedPageBreak/>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268E8" w:rsidRPr="006268E8">
        <w:rPr>
          <w:b/>
          <w:sz w:val="24"/>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lastRenderedPageBreak/>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740F6A" w:rsidRPr="00174B90" w:rsidRDefault="00740F6A" w:rsidP="00740F6A">
      <w:pPr>
        <w:numPr>
          <w:ilvl w:val="0"/>
          <w:numId w:val="17"/>
        </w:numPr>
        <w:spacing w:before="120" w:after="120"/>
        <w:jc w:val="both"/>
        <w:rPr>
          <w:color w:val="000000" w:themeColor="text1"/>
          <w:sz w:val="24"/>
        </w:rPr>
      </w:pPr>
      <w:r w:rsidRPr="00174B90">
        <w:rPr>
          <w:sz w:val="24"/>
        </w:rPr>
        <w:t xml:space="preserve">Zhotovitel souhlasí s uveřejněním této smlouvy na webových stránkách objednatele       </w:t>
      </w:r>
      <w:hyperlink r:id="rId8" w:history="1">
        <w:r w:rsidRPr="00174B90">
          <w:rPr>
            <w:rStyle w:val="Hypertextovodkaz"/>
            <w:sz w:val="24"/>
          </w:rPr>
          <w:t>www.as-po.cz</w:t>
        </w:r>
      </w:hyperlink>
      <w:r w:rsidRPr="00F2346D">
        <w:rPr>
          <w:rStyle w:val="Hypertextovodkaz"/>
          <w:color w:val="auto"/>
          <w:sz w:val="24"/>
          <w:u w:val="none"/>
        </w:rPr>
        <w:t>.</w:t>
      </w:r>
    </w:p>
    <w:p w:rsidR="00740F6A" w:rsidRDefault="00740F6A" w:rsidP="00740F6A">
      <w:pPr>
        <w:numPr>
          <w:ilvl w:val="0"/>
          <w:numId w:val="17"/>
        </w:numPr>
        <w:spacing w:before="120"/>
        <w:jc w:val="both"/>
        <w:rPr>
          <w:sz w:val="24"/>
        </w:rPr>
      </w:pPr>
      <w:r>
        <w:rPr>
          <w:sz w:val="24"/>
          <w:szCs w:val="24"/>
        </w:rPr>
        <w:t>Zhotovitel</w:t>
      </w:r>
      <w:r>
        <w:rPr>
          <w:bCs/>
          <w:sz w:val="24"/>
          <w:szCs w:val="24"/>
        </w:rPr>
        <w:t xml:space="preserve"> </w:t>
      </w:r>
      <w:r w:rsidR="00567722">
        <w:rPr>
          <w:bCs/>
          <w:sz w:val="24"/>
          <w:szCs w:val="24"/>
        </w:rPr>
        <w:t xml:space="preserve">čestně </w:t>
      </w:r>
      <w:r>
        <w:rPr>
          <w:bCs/>
          <w:sz w:val="24"/>
          <w:szCs w:val="24"/>
        </w:rPr>
        <w:t xml:space="preserve">prohlašuje, že </w:t>
      </w:r>
      <w:r w:rsidR="00567722">
        <w:rPr>
          <w:bCs/>
          <w:sz w:val="24"/>
          <w:szCs w:val="24"/>
        </w:rPr>
        <w:t xml:space="preserve">před podpisem smlouvy bude mít uzavřenou jedinou pojistnou smlouvu, jejímž předmětem </w:t>
      </w:r>
      <w:r>
        <w:rPr>
          <w:bCs/>
          <w:sz w:val="24"/>
          <w:szCs w:val="24"/>
        </w:rPr>
        <w:t>je pojištěn</w:t>
      </w:r>
      <w:r w:rsidR="00567722">
        <w:rPr>
          <w:bCs/>
          <w:sz w:val="24"/>
          <w:szCs w:val="24"/>
        </w:rPr>
        <w:t xml:space="preserve">í odpovědnosti za škodu způsobenou zhotovitelem třetí osobě ve výši minimálně </w:t>
      </w:r>
      <w:r w:rsidR="00567722" w:rsidRPr="00391A98">
        <w:rPr>
          <w:b/>
          <w:bCs/>
          <w:sz w:val="24"/>
          <w:szCs w:val="24"/>
        </w:rPr>
        <w:t>2 000 000,- Kč</w:t>
      </w:r>
      <w:r w:rsidR="00391A98">
        <w:rPr>
          <w:bCs/>
          <w:sz w:val="24"/>
          <w:szCs w:val="24"/>
        </w:rPr>
        <w:t xml:space="preserve">. </w:t>
      </w:r>
      <w:r w:rsidR="00567722">
        <w:rPr>
          <w:bCs/>
          <w:sz w:val="24"/>
          <w:szCs w:val="24"/>
        </w:rPr>
        <w:t xml:space="preserve">Tato smlouva bude platná </w:t>
      </w:r>
      <w:r w:rsidR="00391A98">
        <w:rPr>
          <w:bCs/>
          <w:sz w:val="24"/>
          <w:szCs w:val="24"/>
        </w:rPr>
        <w:t>po celou dobu realizaci díla.</w:t>
      </w:r>
      <w:r w:rsidR="00567722">
        <w:rPr>
          <w:bCs/>
          <w:sz w:val="24"/>
          <w:szCs w:val="24"/>
        </w:rPr>
        <w:t xml:space="preserve"> </w:t>
      </w:r>
    </w:p>
    <w:p w:rsidR="00BB3732" w:rsidRPr="00995FD6" w:rsidRDefault="00BB3732" w:rsidP="00BB3732">
      <w:pPr>
        <w:autoSpaceDE w:val="0"/>
        <w:autoSpaceDN w:val="0"/>
        <w:adjustRightInd w:val="0"/>
        <w:spacing w:after="120"/>
        <w:jc w:val="both"/>
        <w:rPr>
          <w:color w:val="000000"/>
          <w:sz w:val="24"/>
          <w:szCs w:val="24"/>
        </w:rPr>
      </w:pPr>
    </w:p>
    <w:p w:rsidR="00391A98" w:rsidRDefault="00391A98"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 </w:t>
      </w:r>
      <w:r w:rsidR="00AE2642" w:rsidRPr="00095FDB">
        <w:rPr>
          <w:rFonts w:ascii="Times New Roman" w:hAnsi="Times New Roman"/>
        </w:rPr>
        <w:t>ODSTOUPENÍ OD SMLOUVY</w:t>
      </w:r>
    </w:p>
    <w:p w:rsidR="002354D1" w:rsidRPr="002354D1" w:rsidRDefault="002354D1" w:rsidP="002354D1"/>
    <w:p w:rsidR="00740F6A" w:rsidRDefault="00AE2642" w:rsidP="00740F6A">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3807E7" w:rsidRDefault="003807E7" w:rsidP="003807E7">
      <w:pPr>
        <w:pStyle w:val="Zkladntext3"/>
        <w:spacing w:beforeLines="20" w:before="48"/>
        <w:ind w:left="851"/>
        <w:jc w:val="both"/>
      </w:pPr>
      <w:r>
        <w:t xml:space="preserve">- </w:t>
      </w:r>
      <w:r>
        <w:tab/>
      </w:r>
      <w:r w:rsidR="00AE2642" w:rsidRPr="00095FDB">
        <w:t>neplnění předmětu díla podle čl. I.</w:t>
      </w:r>
      <w:r w:rsidR="00A87620" w:rsidRPr="00095FDB">
        <w:t>;</w:t>
      </w:r>
    </w:p>
    <w:p w:rsidR="003807E7" w:rsidRDefault="003807E7" w:rsidP="003807E7">
      <w:pPr>
        <w:pStyle w:val="Zkladntext3"/>
        <w:spacing w:beforeLines="20" w:before="48"/>
        <w:ind w:left="851"/>
        <w:jc w:val="both"/>
      </w:pPr>
      <w:r>
        <w:t>-</w:t>
      </w:r>
      <w:r>
        <w:tab/>
      </w:r>
      <w:r w:rsidR="00AE2642" w:rsidRPr="00095FDB">
        <w:t>zhotovitel neprovede dílo v patřičné kvalitě podle platných předpisů a norem</w:t>
      </w:r>
      <w:r w:rsidR="00A87620" w:rsidRPr="00095FDB">
        <w:t>;</w:t>
      </w:r>
    </w:p>
    <w:p w:rsidR="003807E7" w:rsidRDefault="003807E7" w:rsidP="003807E7">
      <w:pPr>
        <w:pStyle w:val="Zkladntext3"/>
        <w:spacing w:beforeLines="20" w:before="48"/>
        <w:ind w:left="851"/>
        <w:jc w:val="both"/>
      </w:pPr>
      <w:r>
        <w:t>-</w:t>
      </w:r>
      <w:r>
        <w:tab/>
      </w:r>
      <w:r w:rsidR="00AE2642" w:rsidRPr="00095FDB">
        <w:t xml:space="preserve">zhotovitel je v prodlení s termínem dokončení díla o více než </w:t>
      </w:r>
      <w:r w:rsidR="00F36D29" w:rsidRPr="00095FDB">
        <w:t>5</w:t>
      </w:r>
      <w:r w:rsidR="00AE2642" w:rsidRPr="00095FDB">
        <w:t xml:space="preserve"> kalendářních dnů</w:t>
      </w:r>
      <w:r w:rsidR="00A87620" w:rsidRPr="00095FDB">
        <w:t>;</w:t>
      </w:r>
    </w:p>
    <w:p w:rsidR="00AE2642" w:rsidRPr="00095FDB" w:rsidRDefault="003807E7" w:rsidP="003807E7">
      <w:pPr>
        <w:pStyle w:val="Zkladntext3"/>
        <w:spacing w:beforeLines="20" w:before="48"/>
        <w:ind w:left="851"/>
        <w:jc w:val="both"/>
      </w:pPr>
      <w:r>
        <w:t>-</w:t>
      </w:r>
      <w:r>
        <w:tab/>
      </w:r>
      <w:r w:rsidR="00AE2642" w:rsidRPr="00095FDB">
        <w:t>zhotovitel bez vážných důvodů přerušil práce na díle na dobu delší</w:t>
      </w:r>
      <w:r w:rsidR="00A54045" w:rsidRPr="00095FDB">
        <w:t xml:space="preserve"> </w:t>
      </w:r>
      <w:r w:rsidR="00AE2642" w:rsidRPr="00095FDB">
        <w:t>než</w:t>
      </w:r>
      <w:r w:rsidR="00A54045" w:rsidRPr="00095FDB">
        <w:t xml:space="preserve"> </w:t>
      </w:r>
      <w:r w:rsidR="00A87620" w:rsidRPr="00095FDB">
        <w:t xml:space="preserve">5 kalendářních </w:t>
      </w:r>
      <w:r>
        <w:tab/>
      </w:r>
      <w:r w:rsidR="00A87620" w:rsidRPr="00095FDB">
        <w:t>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Pr="00095FDB" w:rsidRDefault="002D269D" w:rsidP="002E7917">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C5F4E" w:rsidRPr="008C5F4E" w:rsidRDefault="008C5F4E" w:rsidP="008C5F4E"/>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2D7F87" w:rsidP="00806F68">
      <w:pPr>
        <w:pStyle w:val="Zkladntext3"/>
        <w:numPr>
          <w:ilvl w:val="0"/>
          <w:numId w:val="10"/>
        </w:numPr>
        <w:spacing w:before="0" w:after="120"/>
        <w:jc w:val="both"/>
      </w:pPr>
      <w:r>
        <w:t>Smlouva se vyhotovuje ve třech</w:t>
      </w:r>
      <w:r w:rsidR="00806F68" w:rsidRPr="00095FDB">
        <w:t xml:space="preserve"> stejnopisech, z ni</w:t>
      </w:r>
      <w:r>
        <w:t>chž l paré obdrží zhotovitel a 2</w:t>
      </w:r>
      <w:bookmarkStart w:id="0" w:name="_GoBack"/>
      <w:bookmarkEnd w:id="0"/>
      <w:r w:rsidR="00806F68" w:rsidRPr="00095FDB">
        <w:t xml:space="preserve">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FA62AA" w:rsidRDefault="00FA62AA" w:rsidP="00806F68">
      <w:pPr>
        <w:pStyle w:val="Zkladntext3"/>
        <w:spacing w:before="0" w:after="120"/>
        <w:ind w:left="851"/>
        <w:jc w:val="both"/>
      </w:pPr>
    </w:p>
    <w:p w:rsidR="008C5F4E" w:rsidRDefault="008C5F4E" w:rsidP="00806F68">
      <w:pPr>
        <w:pStyle w:val="Zkladntext3"/>
        <w:spacing w:before="0" w:after="120"/>
        <w:ind w:left="851"/>
        <w:jc w:val="both"/>
      </w:pPr>
    </w:p>
    <w:p w:rsidR="008C5F4E" w:rsidRDefault="008C5F4E" w:rsidP="00806F68">
      <w:pPr>
        <w:pStyle w:val="Zkladntext3"/>
        <w:spacing w:before="0" w:after="120"/>
        <w:ind w:left="851"/>
        <w:jc w:val="both"/>
      </w:pPr>
    </w:p>
    <w:p w:rsidR="008C5F4E" w:rsidRDefault="008C5F4E" w:rsidP="00806F68">
      <w:pPr>
        <w:pStyle w:val="Zkladntext3"/>
        <w:spacing w:before="0" w:after="120"/>
        <w:ind w:left="851"/>
        <w:jc w:val="both"/>
      </w:pPr>
    </w:p>
    <w:p w:rsidR="008C5F4E" w:rsidRDefault="008C5F4E" w:rsidP="00806F68">
      <w:pPr>
        <w:pStyle w:val="Zkladntext3"/>
        <w:spacing w:before="0" w:after="120"/>
        <w:ind w:left="851"/>
        <w:jc w:val="both"/>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3807E7" w:rsidRDefault="003807E7" w:rsidP="00EA3BE5">
      <w:pPr>
        <w:rPr>
          <w:sz w:val="24"/>
          <w:szCs w:val="24"/>
        </w:rPr>
      </w:pPr>
      <w:r>
        <w:rPr>
          <w:sz w:val="24"/>
          <w:szCs w:val="24"/>
        </w:rPr>
        <w:t>Příloha č. 2:</w:t>
      </w:r>
      <w:r>
        <w:rPr>
          <w:sz w:val="24"/>
          <w:szCs w:val="24"/>
        </w:rPr>
        <w:tab/>
        <w:t>Oceněný soupis stavebních prací a dodávek (</w:t>
      </w:r>
      <w:r w:rsidR="002D7F87" w:rsidRPr="002D7F87">
        <w:rPr>
          <w:sz w:val="24"/>
          <w:szCs w:val="24"/>
          <w:highlight w:val="yellow"/>
        </w:rPr>
        <w:t>x</w:t>
      </w:r>
      <w:r>
        <w:rPr>
          <w:sz w:val="24"/>
          <w:szCs w:val="24"/>
        </w:rPr>
        <w:t xml:space="preserve"> listů)</w:t>
      </w:r>
    </w:p>
    <w:p w:rsidR="007B268E" w:rsidRDefault="007B268E" w:rsidP="00EA3BE5">
      <w:pPr>
        <w:rPr>
          <w:sz w:val="24"/>
          <w:szCs w:val="24"/>
        </w:rPr>
      </w:pPr>
    </w:p>
    <w:p w:rsidR="002D7F87" w:rsidRDefault="002D7F87" w:rsidP="00EA3BE5">
      <w:pPr>
        <w:rPr>
          <w:sz w:val="24"/>
          <w:szCs w:val="24"/>
        </w:rPr>
      </w:pPr>
    </w:p>
    <w:p w:rsidR="002D7F87" w:rsidRDefault="002D7F87" w:rsidP="00EA3BE5">
      <w:pPr>
        <w:rPr>
          <w:sz w:val="24"/>
          <w:szCs w:val="24"/>
        </w:rPr>
      </w:pPr>
    </w:p>
    <w:p w:rsidR="002D7F87" w:rsidRDefault="002D7F87" w:rsidP="00EA3BE5">
      <w:pPr>
        <w:rPr>
          <w:sz w:val="24"/>
          <w:szCs w:val="24"/>
        </w:rPr>
      </w:pPr>
    </w:p>
    <w:p w:rsidR="002D7F87" w:rsidRDefault="002D7F87" w:rsidP="00EA3BE5">
      <w:pPr>
        <w:rPr>
          <w:sz w:val="24"/>
          <w:szCs w:val="24"/>
        </w:rPr>
      </w:pPr>
    </w:p>
    <w:p w:rsidR="002D7F87" w:rsidRDefault="002D7F87"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1B" w:rsidRDefault="00EC641B">
      <w:r>
        <w:separator/>
      </w:r>
    </w:p>
  </w:endnote>
  <w:endnote w:type="continuationSeparator" w:id="0">
    <w:p w:rsidR="00EC641B" w:rsidRDefault="00EC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2D7F87">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1B" w:rsidRDefault="00EC641B">
      <w:r>
        <w:separator/>
      </w:r>
    </w:p>
  </w:footnote>
  <w:footnote w:type="continuationSeparator" w:id="0">
    <w:p w:rsidR="00EC641B" w:rsidRDefault="00EC6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0"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5"/>
  </w:num>
  <w:num w:numId="4">
    <w:abstractNumId w:val="31"/>
  </w:num>
  <w:num w:numId="5">
    <w:abstractNumId w:val="33"/>
  </w:num>
  <w:num w:numId="6">
    <w:abstractNumId w:val="9"/>
  </w:num>
  <w:num w:numId="7">
    <w:abstractNumId w:val="6"/>
  </w:num>
  <w:num w:numId="8">
    <w:abstractNumId w:val="26"/>
  </w:num>
  <w:num w:numId="9">
    <w:abstractNumId w:val="2"/>
  </w:num>
  <w:num w:numId="10">
    <w:abstractNumId w:val="27"/>
  </w:num>
  <w:num w:numId="11">
    <w:abstractNumId w:val="24"/>
  </w:num>
  <w:num w:numId="12">
    <w:abstractNumId w:val="11"/>
  </w:num>
  <w:num w:numId="13">
    <w:abstractNumId w:val="0"/>
  </w:num>
  <w:num w:numId="14">
    <w:abstractNumId w:val="23"/>
  </w:num>
  <w:num w:numId="15">
    <w:abstractNumId w:val="12"/>
  </w:num>
  <w:num w:numId="16">
    <w:abstractNumId w:val="20"/>
  </w:num>
  <w:num w:numId="17">
    <w:abstractNumId w:val="29"/>
  </w:num>
  <w:num w:numId="18">
    <w:abstractNumId w:val="19"/>
  </w:num>
  <w:num w:numId="19">
    <w:abstractNumId w:val="32"/>
  </w:num>
  <w:num w:numId="20">
    <w:abstractNumId w:val="1"/>
  </w:num>
  <w:num w:numId="21">
    <w:abstractNumId w:val="17"/>
  </w:num>
  <w:num w:numId="22">
    <w:abstractNumId w:val="7"/>
  </w:num>
  <w:num w:numId="23">
    <w:abstractNumId w:val="14"/>
  </w:num>
  <w:num w:numId="24">
    <w:abstractNumId w:val="5"/>
  </w:num>
  <w:num w:numId="25">
    <w:abstractNumId w:val="3"/>
  </w:num>
  <w:num w:numId="26">
    <w:abstractNumId w:val="4"/>
  </w:num>
  <w:num w:numId="27">
    <w:abstractNumId w:val="10"/>
  </w:num>
  <w:num w:numId="28">
    <w:abstractNumId w:val="28"/>
  </w:num>
  <w:num w:numId="29">
    <w:abstractNumId w:val="13"/>
  </w:num>
  <w:num w:numId="30">
    <w:abstractNumId w:val="21"/>
  </w:num>
  <w:num w:numId="31">
    <w:abstractNumId w:val="22"/>
  </w:num>
  <w:num w:numId="32">
    <w:abstractNumId w:val="30"/>
  </w:num>
  <w:num w:numId="33">
    <w:abstractNumId w:val="8"/>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05C18"/>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0DE"/>
    <w:rsid w:val="000726F4"/>
    <w:rsid w:val="000825B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F1102"/>
    <w:rsid w:val="00102CFB"/>
    <w:rsid w:val="001039CE"/>
    <w:rsid w:val="00106F97"/>
    <w:rsid w:val="0012112F"/>
    <w:rsid w:val="00124E54"/>
    <w:rsid w:val="00126A9A"/>
    <w:rsid w:val="00133CA3"/>
    <w:rsid w:val="00134292"/>
    <w:rsid w:val="00143F3E"/>
    <w:rsid w:val="00150F3F"/>
    <w:rsid w:val="00167E17"/>
    <w:rsid w:val="00170D81"/>
    <w:rsid w:val="00172B03"/>
    <w:rsid w:val="00197CB7"/>
    <w:rsid w:val="001A5AF0"/>
    <w:rsid w:val="001A6F2A"/>
    <w:rsid w:val="001B2011"/>
    <w:rsid w:val="001B51E2"/>
    <w:rsid w:val="00203EBD"/>
    <w:rsid w:val="002179A8"/>
    <w:rsid w:val="00223D61"/>
    <w:rsid w:val="00230FB1"/>
    <w:rsid w:val="002354D1"/>
    <w:rsid w:val="00235F9A"/>
    <w:rsid w:val="0024417C"/>
    <w:rsid w:val="00246940"/>
    <w:rsid w:val="00250B0E"/>
    <w:rsid w:val="00251A87"/>
    <w:rsid w:val="002658A9"/>
    <w:rsid w:val="00265D44"/>
    <w:rsid w:val="00267031"/>
    <w:rsid w:val="002821D9"/>
    <w:rsid w:val="002B17D2"/>
    <w:rsid w:val="002B39FC"/>
    <w:rsid w:val="002B65DD"/>
    <w:rsid w:val="002C01F5"/>
    <w:rsid w:val="002C458F"/>
    <w:rsid w:val="002D269D"/>
    <w:rsid w:val="002D2786"/>
    <w:rsid w:val="002D52B0"/>
    <w:rsid w:val="002D7F87"/>
    <w:rsid w:val="002E7917"/>
    <w:rsid w:val="002F519E"/>
    <w:rsid w:val="00302F96"/>
    <w:rsid w:val="00307295"/>
    <w:rsid w:val="0032040C"/>
    <w:rsid w:val="003212B3"/>
    <w:rsid w:val="003231F1"/>
    <w:rsid w:val="0033006B"/>
    <w:rsid w:val="00346428"/>
    <w:rsid w:val="00351647"/>
    <w:rsid w:val="00352D92"/>
    <w:rsid w:val="00353802"/>
    <w:rsid w:val="00365E48"/>
    <w:rsid w:val="0036638E"/>
    <w:rsid w:val="0036662D"/>
    <w:rsid w:val="003807E7"/>
    <w:rsid w:val="00391A98"/>
    <w:rsid w:val="0039725D"/>
    <w:rsid w:val="003972B8"/>
    <w:rsid w:val="003A265E"/>
    <w:rsid w:val="003B0799"/>
    <w:rsid w:val="003B4566"/>
    <w:rsid w:val="003B4CC3"/>
    <w:rsid w:val="003B5DA6"/>
    <w:rsid w:val="003B70C8"/>
    <w:rsid w:val="003C35A8"/>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12F"/>
    <w:rsid w:val="0044446E"/>
    <w:rsid w:val="004540F1"/>
    <w:rsid w:val="00455900"/>
    <w:rsid w:val="00457DD3"/>
    <w:rsid w:val="0046156D"/>
    <w:rsid w:val="00465C84"/>
    <w:rsid w:val="00466B03"/>
    <w:rsid w:val="00473AE3"/>
    <w:rsid w:val="00481EBB"/>
    <w:rsid w:val="00482F7A"/>
    <w:rsid w:val="0048318A"/>
    <w:rsid w:val="004934DE"/>
    <w:rsid w:val="00495DE3"/>
    <w:rsid w:val="004A65DA"/>
    <w:rsid w:val="004A77BD"/>
    <w:rsid w:val="004B0470"/>
    <w:rsid w:val="004B3E4F"/>
    <w:rsid w:val="004B5E60"/>
    <w:rsid w:val="004E0FAE"/>
    <w:rsid w:val="004F49F6"/>
    <w:rsid w:val="004F699B"/>
    <w:rsid w:val="004F6AA0"/>
    <w:rsid w:val="00502E1D"/>
    <w:rsid w:val="005034B4"/>
    <w:rsid w:val="005138E7"/>
    <w:rsid w:val="00515086"/>
    <w:rsid w:val="00523774"/>
    <w:rsid w:val="00524874"/>
    <w:rsid w:val="00550430"/>
    <w:rsid w:val="00550AF5"/>
    <w:rsid w:val="00557C70"/>
    <w:rsid w:val="00560BF2"/>
    <w:rsid w:val="00561A21"/>
    <w:rsid w:val="00561F2F"/>
    <w:rsid w:val="005629D6"/>
    <w:rsid w:val="00566F27"/>
    <w:rsid w:val="00567722"/>
    <w:rsid w:val="00572B5C"/>
    <w:rsid w:val="0057338B"/>
    <w:rsid w:val="005848EE"/>
    <w:rsid w:val="00592BD8"/>
    <w:rsid w:val="00595E50"/>
    <w:rsid w:val="005963A8"/>
    <w:rsid w:val="00596B25"/>
    <w:rsid w:val="00597A31"/>
    <w:rsid w:val="005A28B9"/>
    <w:rsid w:val="005A4411"/>
    <w:rsid w:val="005A5731"/>
    <w:rsid w:val="005A6283"/>
    <w:rsid w:val="005B58C5"/>
    <w:rsid w:val="005B6EFE"/>
    <w:rsid w:val="005E1142"/>
    <w:rsid w:val="005E23C7"/>
    <w:rsid w:val="005E3302"/>
    <w:rsid w:val="005E7139"/>
    <w:rsid w:val="005E7D3D"/>
    <w:rsid w:val="005F7EDB"/>
    <w:rsid w:val="00602BDB"/>
    <w:rsid w:val="00606C15"/>
    <w:rsid w:val="00615570"/>
    <w:rsid w:val="00621E02"/>
    <w:rsid w:val="006268E8"/>
    <w:rsid w:val="006344C1"/>
    <w:rsid w:val="0063584C"/>
    <w:rsid w:val="00636C4C"/>
    <w:rsid w:val="006375DA"/>
    <w:rsid w:val="00654A49"/>
    <w:rsid w:val="00660182"/>
    <w:rsid w:val="00663602"/>
    <w:rsid w:val="006674C4"/>
    <w:rsid w:val="00672836"/>
    <w:rsid w:val="006747EF"/>
    <w:rsid w:val="00681A23"/>
    <w:rsid w:val="006904F9"/>
    <w:rsid w:val="00690BCB"/>
    <w:rsid w:val="006928EB"/>
    <w:rsid w:val="00692CBF"/>
    <w:rsid w:val="006A1AA4"/>
    <w:rsid w:val="006A2A29"/>
    <w:rsid w:val="006A5382"/>
    <w:rsid w:val="006B1E85"/>
    <w:rsid w:val="006B45DB"/>
    <w:rsid w:val="006B632E"/>
    <w:rsid w:val="006D2154"/>
    <w:rsid w:val="006D6F14"/>
    <w:rsid w:val="006E1773"/>
    <w:rsid w:val="006E3756"/>
    <w:rsid w:val="006E4FC5"/>
    <w:rsid w:val="006F17C5"/>
    <w:rsid w:val="006F2FFD"/>
    <w:rsid w:val="006F3DE9"/>
    <w:rsid w:val="00703DB1"/>
    <w:rsid w:val="007047B6"/>
    <w:rsid w:val="00705208"/>
    <w:rsid w:val="00715A43"/>
    <w:rsid w:val="00731325"/>
    <w:rsid w:val="00732F72"/>
    <w:rsid w:val="00740F6A"/>
    <w:rsid w:val="007416C3"/>
    <w:rsid w:val="0074567D"/>
    <w:rsid w:val="00746F82"/>
    <w:rsid w:val="0074794D"/>
    <w:rsid w:val="0075034C"/>
    <w:rsid w:val="00750A54"/>
    <w:rsid w:val="00753CAB"/>
    <w:rsid w:val="0075602E"/>
    <w:rsid w:val="00767CA6"/>
    <w:rsid w:val="00773F23"/>
    <w:rsid w:val="00776A70"/>
    <w:rsid w:val="007830EB"/>
    <w:rsid w:val="00783D5E"/>
    <w:rsid w:val="007853A6"/>
    <w:rsid w:val="00785750"/>
    <w:rsid w:val="00791998"/>
    <w:rsid w:val="00793B5A"/>
    <w:rsid w:val="007947EA"/>
    <w:rsid w:val="007B268E"/>
    <w:rsid w:val="007B4969"/>
    <w:rsid w:val="007B6975"/>
    <w:rsid w:val="007C4B3B"/>
    <w:rsid w:val="007C4DEA"/>
    <w:rsid w:val="007D362F"/>
    <w:rsid w:val="007D4A64"/>
    <w:rsid w:val="007E1065"/>
    <w:rsid w:val="007E7EE1"/>
    <w:rsid w:val="007F2AA2"/>
    <w:rsid w:val="007F727C"/>
    <w:rsid w:val="00803355"/>
    <w:rsid w:val="00806F68"/>
    <w:rsid w:val="00806F8F"/>
    <w:rsid w:val="00821C47"/>
    <w:rsid w:val="008249D7"/>
    <w:rsid w:val="00831C13"/>
    <w:rsid w:val="008374CD"/>
    <w:rsid w:val="008377F5"/>
    <w:rsid w:val="00842029"/>
    <w:rsid w:val="0084231E"/>
    <w:rsid w:val="008472DF"/>
    <w:rsid w:val="00847843"/>
    <w:rsid w:val="00847A8F"/>
    <w:rsid w:val="00857513"/>
    <w:rsid w:val="00874BE4"/>
    <w:rsid w:val="0088040A"/>
    <w:rsid w:val="00880A54"/>
    <w:rsid w:val="00880B99"/>
    <w:rsid w:val="008A1017"/>
    <w:rsid w:val="008A383B"/>
    <w:rsid w:val="008A3DED"/>
    <w:rsid w:val="008A7577"/>
    <w:rsid w:val="008B4EF3"/>
    <w:rsid w:val="008C12D8"/>
    <w:rsid w:val="008C5622"/>
    <w:rsid w:val="008C584B"/>
    <w:rsid w:val="008C5F4E"/>
    <w:rsid w:val="008C7C04"/>
    <w:rsid w:val="008D3DFE"/>
    <w:rsid w:val="008D7D8C"/>
    <w:rsid w:val="008E02C8"/>
    <w:rsid w:val="008E069F"/>
    <w:rsid w:val="008F59AC"/>
    <w:rsid w:val="008F6F60"/>
    <w:rsid w:val="00900502"/>
    <w:rsid w:val="00914F75"/>
    <w:rsid w:val="00933685"/>
    <w:rsid w:val="00934FCA"/>
    <w:rsid w:val="00941F5F"/>
    <w:rsid w:val="009460F6"/>
    <w:rsid w:val="00946C23"/>
    <w:rsid w:val="00953169"/>
    <w:rsid w:val="00957072"/>
    <w:rsid w:val="00963BCA"/>
    <w:rsid w:val="0096722E"/>
    <w:rsid w:val="0098412D"/>
    <w:rsid w:val="00985BA2"/>
    <w:rsid w:val="0099006C"/>
    <w:rsid w:val="0099589C"/>
    <w:rsid w:val="00995FD6"/>
    <w:rsid w:val="00995FEB"/>
    <w:rsid w:val="009A3F58"/>
    <w:rsid w:val="009A71AC"/>
    <w:rsid w:val="009E79F6"/>
    <w:rsid w:val="009F79C0"/>
    <w:rsid w:val="00A01548"/>
    <w:rsid w:val="00A02706"/>
    <w:rsid w:val="00A0668B"/>
    <w:rsid w:val="00A06F0C"/>
    <w:rsid w:val="00A114A8"/>
    <w:rsid w:val="00A12DBD"/>
    <w:rsid w:val="00A256C9"/>
    <w:rsid w:val="00A3017A"/>
    <w:rsid w:val="00A333A0"/>
    <w:rsid w:val="00A37116"/>
    <w:rsid w:val="00A37F9B"/>
    <w:rsid w:val="00A4428A"/>
    <w:rsid w:val="00A45FE1"/>
    <w:rsid w:val="00A54045"/>
    <w:rsid w:val="00A57703"/>
    <w:rsid w:val="00A628B6"/>
    <w:rsid w:val="00A63C08"/>
    <w:rsid w:val="00A75910"/>
    <w:rsid w:val="00A77B67"/>
    <w:rsid w:val="00A82DEA"/>
    <w:rsid w:val="00A8687A"/>
    <w:rsid w:val="00A87620"/>
    <w:rsid w:val="00A90406"/>
    <w:rsid w:val="00A93A59"/>
    <w:rsid w:val="00AA5ED1"/>
    <w:rsid w:val="00AA74B8"/>
    <w:rsid w:val="00AB10C1"/>
    <w:rsid w:val="00AB4D65"/>
    <w:rsid w:val="00AB62F1"/>
    <w:rsid w:val="00AB695B"/>
    <w:rsid w:val="00AB7B6C"/>
    <w:rsid w:val="00AC1195"/>
    <w:rsid w:val="00AC384A"/>
    <w:rsid w:val="00AC62B0"/>
    <w:rsid w:val="00AD3584"/>
    <w:rsid w:val="00AD432A"/>
    <w:rsid w:val="00AE2642"/>
    <w:rsid w:val="00AE3EFB"/>
    <w:rsid w:val="00AE745D"/>
    <w:rsid w:val="00B06585"/>
    <w:rsid w:val="00B15485"/>
    <w:rsid w:val="00B46B1D"/>
    <w:rsid w:val="00B541DA"/>
    <w:rsid w:val="00B659CB"/>
    <w:rsid w:val="00B753A2"/>
    <w:rsid w:val="00B82357"/>
    <w:rsid w:val="00B90640"/>
    <w:rsid w:val="00B90B47"/>
    <w:rsid w:val="00B9228B"/>
    <w:rsid w:val="00B9303C"/>
    <w:rsid w:val="00B93824"/>
    <w:rsid w:val="00B94ED7"/>
    <w:rsid w:val="00BB2180"/>
    <w:rsid w:val="00BB3732"/>
    <w:rsid w:val="00BB5A8E"/>
    <w:rsid w:val="00BC3DFB"/>
    <w:rsid w:val="00BC688B"/>
    <w:rsid w:val="00BD0F29"/>
    <w:rsid w:val="00BD463F"/>
    <w:rsid w:val="00BE3A33"/>
    <w:rsid w:val="00BF2F1E"/>
    <w:rsid w:val="00BF3255"/>
    <w:rsid w:val="00C048B6"/>
    <w:rsid w:val="00C067BB"/>
    <w:rsid w:val="00C12C0B"/>
    <w:rsid w:val="00C13571"/>
    <w:rsid w:val="00C14E2A"/>
    <w:rsid w:val="00C21BF4"/>
    <w:rsid w:val="00C27B95"/>
    <w:rsid w:val="00C32D88"/>
    <w:rsid w:val="00C3450C"/>
    <w:rsid w:val="00C45E22"/>
    <w:rsid w:val="00C51BA5"/>
    <w:rsid w:val="00C56DD3"/>
    <w:rsid w:val="00C614E5"/>
    <w:rsid w:val="00C73640"/>
    <w:rsid w:val="00C77854"/>
    <w:rsid w:val="00C8028B"/>
    <w:rsid w:val="00C83454"/>
    <w:rsid w:val="00C84727"/>
    <w:rsid w:val="00C84C3A"/>
    <w:rsid w:val="00C85501"/>
    <w:rsid w:val="00C85579"/>
    <w:rsid w:val="00C9449D"/>
    <w:rsid w:val="00CA2F02"/>
    <w:rsid w:val="00CA6AD5"/>
    <w:rsid w:val="00CD09A4"/>
    <w:rsid w:val="00CD15A7"/>
    <w:rsid w:val="00CE1C55"/>
    <w:rsid w:val="00CE4C29"/>
    <w:rsid w:val="00CE5FEE"/>
    <w:rsid w:val="00CF6A6F"/>
    <w:rsid w:val="00D0464B"/>
    <w:rsid w:val="00D0571B"/>
    <w:rsid w:val="00D13D50"/>
    <w:rsid w:val="00D1698C"/>
    <w:rsid w:val="00D16F68"/>
    <w:rsid w:val="00D31770"/>
    <w:rsid w:val="00D31C77"/>
    <w:rsid w:val="00D4326C"/>
    <w:rsid w:val="00D4436A"/>
    <w:rsid w:val="00D461C5"/>
    <w:rsid w:val="00D5235C"/>
    <w:rsid w:val="00D548C3"/>
    <w:rsid w:val="00D56AEB"/>
    <w:rsid w:val="00D6364B"/>
    <w:rsid w:val="00D711E4"/>
    <w:rsid w:val="00D77061"/>
    <w:rsid w:val="00D864CA"/>
    <w:rsid w:val="00D93480"/>
    <w:rsid w:val="00DA05F4"/>
    <w:rsid w:val="00DA1480"/>
    <w:rsid w:val="00DA3C03"/>
    <w:rsid w:val="00DA4D1D"/>
    <w:rsid w:val="00DA6194"/>
    <w:rsid w:val="00DB0147"/>
    <w:rsid w:val="00DC26F4"/>
    <w:rsid w:val="00DC6996"/>
    <w:rsid w:val="00DD16A9"/>
    <w:rsid w:val="00DD1FCA"/>
    <w:rsid w:val="00DD264F"/>
    <w:rsid w:val="00DE50F3"/>
    <w:rsid w:val="00DE5981"/>
    <w:rsid w:val="00DF1831"/>
    <w:rsid w:val="00DF2BC1"/>
    <w:rsid w:val="00DF4415"/>
    <w:rsid w:val="00E0519E"/>
    <w:rsid w:val="00E152A7"/>
    <w:rsid w:val="00E43D89"/>
    <w:rsid w:val="00E51409"/>
    <w:rsid w:val="00E5417F"/>
    <w:rsid w:val="00E60A63"/>
    <w:rsid w:val="00E62D54"/>
    <w:rsid w:val="00E72798"/>
    <w:rsid w:val="00E75237"/>
    <w:rsid w:val="00E85099"/>
    <w:rsid w:val="00E869EB"/>
    <w:rsid w:val="00E873B3"/>
    <w:rsid w:val="00E9110A"/>
    <w:rsid w:val="00E97207"/>
    <w:rsid w:val="00EA3BE5"/>
    <w:rsid w:val="00EB1CB6"/>
    <w:rsid w:val="00EB2847"/>
    <w:rsid w:val="00EB7238"/>
    <w:rsid w:val="00EC641B"/>
    <w:rsid w:val="00EE16AE"/>
    <w:rsid w:val="00EE5368"/>
    <w:rsid w:val="00EE7785"/>
    <w:rsid w:val="00EF2D89"/>
    <w:rsid w:val="00EF3C51"/>
    <w:rsid w:val="00EF5E3C"/>
    <w:rsid w:val="00F001D3"/>
    <w:rsid w:val="00F150A3"/>
    <w:rsid w:val="00F15F1B"/>
    <w:rsid w:val="00F36D29"/>
    <w:rsid w:val="00F371C8"/>
    <w:rsid w:val="00F50AAE"/>
    <w:rsid w:val="00F60396"/>
    <w:rsid w:val="00F634A8"/>
    <w:rsid w:val="00F76CCA"/>
    <w:rsid w:val="00F80A7D"/>
    <w:rsid w:val="00F83781"/>
    <w:rsid w:val="00F866AD"/>
    <w:rsid w:val="00F87849"/>
    <w:rsid w:val="00FA5036"/>
    <w:rsid w:val="00FA5C88"/>
    <w:rsid w:val="00FA62AA"/>
    <w:rsid w:val="00FB1FB9"/>
    <w:rsid w:val="00FB533C"/>
    <w:rsid w:val="00FC0202"/>
    <w:rsid w:val="00FC04EA"/>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9F2F2C0-3424-4B89-A9AA-32993382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k3idWf+Aa/fFaDtjyUFaxiQGHfbpBg7he3typ2m4FbY=</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/eyqGqiZqto4TaTeuFoMiVXyaNThnLT8KppN609XejI=</DigestValue>
    </Reference>
  </SignedInfo>
  <SignatureValue>IYjCvYGCKepOMySl+E9BaPB509aQE2GhfBKhseZgGgyif17yao6XbbIN5o755uDq4tIMIRnfo8lX
BaUURYimdbPFseT1HGMAtCgH9tq/yOcrwhuOzsg1xbfzLpS4saZyXOF99eFcdZr8R6PzwEen9Uit
UflNDdXgZqbtfKJFvjgKZtPff6JouaJwfDjnJ6rAarwmaYbSDJmgAFNICx4J5+OOCm7ggScI+f6h
782xqNrOX8P2Yh5aRTzJ61gX/oEvlzaaFkJs8o90BcPXLdG/h5/ePzwdkEUEC4dShrgp/J9H3+At
eWGe1q25Mvmcr4cmQZUsJZfsYxcS1EniWeE8fg==</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EXDXU5fCf8PZqtLiy2eypJoE9jBjQQkzqMif0uTyzMM=</DigestValue>
      </Reference>
      <Reference URI="/word/document.xml?ContentType=application/vnd.openxmlformats-officedocument.wordprocessingml.document.main+xml">
        <DigestMethod Algorithm="http://www.w3.org/2001/04/xmlenc#sha256"/>
        <DigestValue>tECQl3DQKNdt78eIMqC+lrOQmrWim1sdMFazlllMsrw=</DigestValue>
      </Reference>
      <Reference URI="/word/endnotes.xml?ContentType=application/vnd.openxmlformats-officedocument.wordprocessingml.endnotes+xml">
        <DigestMethod Algorithm="http://www.w3.org/2001/04/xmlenc#sha256"/>
        <DigestValue>J2FGR+ZY3d2QIgoza/d2vKUoCYbtBLQFkStYRolBLgg=</DigestValue>
      </Reference>
      <Reference URI="/word/fontTable.xml?ContentType=application/vnd.openxmlformats-officedocument.wordprocessingml.fontTable+xml">
        <DigestMethod Algorithm="http://www.w3.org/2001/04/xmlenc#sha256"/>
        <DigestValue>eAm8y9nukg3qitv9R/PD/tcahgnRvbnRGp+2JTpzx40=</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WWLHZ3w6JGyLugWf/REprc0RRaXxstwMSJsGTB5CmCY=</DigestValue>
      </Reference>
      <Reference URI="/word/footnotes.xml?ContentType=application/vnd.openxmlformats-officedocument.wordprocessingml.footnotes+xml">
        <DigestMethod Algorithm="http://www.w3.org/2001/04/xmlenc#sha256"/>
        <DigestValue>TCHsdGwcdE9dWjIkW49viUDFAKTxRjwy/xaSviEbH50=</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f00PEnDRlsuBWeaqR2r1+BmC1L3pn3atjamnxlAo9hU=</DigestValue>
      </Reference>
      <Reference URI="/word/numbering.xml?ContentType=application/vnd.openxmlformats-officedocument.wordprocessingml.numbering+xml">
        <DigestMethod Algorithm="http://www.w3.org/2001/04/xmlenc#sha256"/>
        <DigestValue>D2KIPA/GZ3wd0Ij/jtnBCROHQ30C7OjjtlwEPPtxpJg=</DigestValue>
      </Reference>
      <Reference URI="/word/settings.xml?ContentType=application/vnd.openxmlformats-officedocument.wordprocessingml.settings+xml">
        <DigestMethod Algorithm="http://www.w3.org/2001/04/xmlenc#sha256"/>
        <DigestValue>tcM/gz+aNGhrJXesfGGiXCEyYJKThU1IyAKypwsbAsU=</DigestValue>
      </Reference>
      <Reference URI="/word/styles.xml?ContentType=application/vnd.openxmlformats-officedocument.wordprocessingml.styles+xml">
        <DigestMethod Algorithm="http://www.w3.org/2001/04/xmlenc#sha256"/>
        <DigestValue>qP+zF91LklQaqA8dvbBFGmxEX/Ic4L9o+2g6KSKjdZ8=</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2015-11-05T13:54:56Z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2015-11-05T13:54:56Z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4E897-B536-4087-9E0A-9AB23348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2321</Words>
  <Characters>13696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15986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126</cp:revision>
  <cp:lastPrinted>2015-10-30T08:03:00Z</cp:lastPrinted>
  <dcterms:created xsi:type="dcterms:W3CDTF">2015-04-28T10:55:00Z</dcterms:created>
  <dcterms:modified xsi:type="dcterms:W3CDTF">2015-11-05T07:48:00Z</dcterms:modified>
</cp:coreProperties>
</file>